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1D2EC2A" w14:textId="26207901" w:rsidR="000254CB" w:rsidRDefault="000254CB" w:rsidP="000254CB">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sidR="00631122">
        <w:rPr>
          <w:rFonts w:ascii="맑은 고딕" w:eastAsia="맑은 고딕" w:hAnsi="맑은 고딕" w:cs="Arial" w:hint="eastAsia"/>
          <w:b/>
          <w:sz w:val="24"/>
        </w:rPr>
        <w:t>10</w:t>
      </w:r>
      <w:r w:rsidR="00631122">
        <w:rPr>
          <w:rFonts w:ascii="맑은 고딕" w:eastAsia="맑은 고딕" w:hAnsi="맑은 고딕" w:cs="Arial"/>
          <w:b/>
          <w:sz w:val="24"/>
        </w:rPr>
        <w:t>5</w:t>
      </w:r>
      <w:r>
        <w:rPr>
          <w:rFonts w:ascii="맑은 고딕" w:eastAsia="맑은 고딕" w:hAnsi="맑은 고딕" w:cs="Arial"/>
          <w:b/>
          <w:sz w:val="24"/>
        </w:rPr>
        <w:t>-e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45692F" w:rsidRPr="0045692F">
        <w:rPr>
          <w:rFonts w:ascii="맑은 고딕" w:eastAsia="맑은 고딕" w:hAnsi="맑은 고딕" w:cs="Arial"/>
          <w:b/>
          <w:sz w:val="24"/>
        </w:rPr>
        <w:t>R1-</w:t>
      </w:r>
      <w:r w:rsidR="00A90B9F" w:rsidRPr="00A90B9F">
        <w:rPr>
          <w:rFonts w:ascii="맑은 고딕" w:eastAsia="맑은 고딕" w:hAnsi="맑은 고딕" w:cs="Arial"/>
          <w:b/>
          <w:sz w:val="24"/>
        </w:rPr>
        <w:t>2105212</w:t>
      </w:r>
    </w:p>
    <w:p w14:paraId="23BAE91E" w14:textId="641C52D0" w:rsidR="000254CB" w:rsidRPr="00010F55" w:rsidRDefault="000254CB" w:rsidP="000254CB">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w:t>
      </w:r>
      <w:r w:rsidR="00631122" w:rsidRPr="00631122">
        <w:rPr>
          <w:rFonts w:ascii="맑은 고딕" w:eastAsia="맑은 고딕" w:hAnsi="맑은 고딕" w:cs="Arial"/>
          <w:b/>
          <w:sz w:val="24"/>
        </w:rPr>
        <w:t xml:space="preserve">May </w:t>
      </w:r>
      <w:r w:rsidR="00F61558" w:rsidRPr="00631122">
        <w:rPr>
          <w:rFonts w:ascii="맑은 고딕" w:eastAsia="맑은 고딕" w:hAnsi="맑은 고딕" w:cs="Arial"/>
          <w:b/>
          <w:sz w:val="24"/>
        </w:rPr>
        <w:t>1</w:t>
      </w:r>
      <w:r w:rsidR="00F61558">
        <w:rPr>
          <w:rFonts w:ascii="맑은 고딕" w:eastAsia="맑은 고딕" w:hAnsi="맑은 고딕" w:cs="Arial"/>
          <w:b/>
          <w:sz w:val="24"/>
        </w:rPr>
        <w:t>0</w:t>
      </w:r>
      <w:r w:rsidR="00F61558" w:rsidRPr="00631122">
        <w:rPr>
          <w:rFonts w:ascii="맑은 고딕" w:eastAsia="맑은 고딕" w:hAnsi="맑은 고딕" w:cs="Arial"/>
          <w:b/>
          <w:sz w:val="24"/>
        </w:rPr>
        <w:t xml:space="preserve">th </w:t>
      </w:r>
      <w:r w:rsidR="00631122" w:rsidRPr="00631122">
        <w:rPr>
          <w:rFonts w:ascii="맑은 고딕" w:eastAsia="맑은 고딕" w:hAnsi="맑은 고딕" w:cs="Arial"/>
          <w:b/>
          <w:sz w:val="24"/>
        </w:rPr>
        <w:t>– 27th, 2021</w:t>
      </w:r>
    </w:p>
    <w:p w14:paraId="548DDFEA" w14:textId="77777777" w:rsidR="000254CB" w:rsidRPr="00010F55" w:rsidRDefault="000254CB" w:rsidP="000254C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6AA8E395" w14:textId="1EA345A8" w:rsidR="00C2461A"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6" w:name="OLE_LINK11"/>
      <w:bookmarkStart w:id="7"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w:t>
      </w:r>
      <w:r w:rsidR="00C2461A">
        <w:rPr>
          <w:color w:val="000000" w:themeColor="text1"/>
          <w:lang w:eastAsia="ko-KR"/>
        </w:rPr>
        <w:t xml:space="preserve"> in some issues, however, some other issues do not show much progress. Following the chairman’s recommendation, we address our view on enhancements for the type-3 HARQ-ACK codebook</w:t>
      </w:r>
      <w:r w:rsidR="005C394B">
        <w:rPr>
          <w:color w:val="000000" w:themeColor="text1"/>
          <w:lang w:eastAsia="ko-KR"/>
        </w:rPr>
        <w:t xml:space="preserve"> and PUCCH carrier switching</w:t>
      </w:r>
      <w:r w:rsidR="00C2461A">
        <w:rPr>
          <w:color w:val="000000" w:themeColor="text1"/>
          <w:lang w:eastAsia="ko-KR"/>
        </w:rPr>
        <w:t>.</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33B202FF" w14:textId="47E9D3AE" w:rsidR="005C394B" w:rsidRDefault="00AE0393" w:rsidP="00A90B9F">
      <w:pPr>
        <w:pStyle w:val="H2"/>
        <w:numPr>
          <w:ilvl w:val="1"/>
          <w:numId w:val="1"/>
        </w:numPr>
        <w:ind w:leftChars="0"/>
      </w:pPr>
      <w:r>
        <w:t>PUCCH c</w:t>
      </w:r>
      <w:r w:rsidR="005C394B">
        <w:t>arrier switching</w:t>
      </w:r>
    </w:p>
    <w:tbl>
      <w:tblPr>
        <w:tblStyle w:val="a6"/>
        <w:tblW w:w="0" w:type="auto"/>
        <w:tblInd w:w="113" w:type="dxa"/>
        <w:tblLook w:val="04A0" w:firstRow="1" w:lastRow="0" w:firstColumn="1" w:lastColumn="0" w:noHBand="0" w:noVBand="1"/>
      </w:tblPr>
      <w:tblGrid>
        <w:gridCol w:w="8903"/>
      </w:tblGrid>
      <w:tr w:rsidR="005C394B" w14:paraId="481176D3" w14:textId="77777777" w:rsidTr="00FF15EE">
        <w:tc>
          <w:tcPr>
            <w:tcW w:w="9016" w:type="dxa"/>
          </w:tcPr>
          <w:p w14:paraId="120875F8" w14:textId="77777777" w:rsidR="005C394B" w:rsidRDefault="005C394B" w:rsidP="00FF15EE">
            <w:pPr>
              <w:rPr>
                <w:lang w:val="en-US" w:eastAsia="zh-CN"/>
              </w:rPr>
            </w:pPr>
            <w:r w:rsidRPr="00133F7F">
              <w:rPr>
                <w:highlight w:val="green"/>
                <w:lang w:val="en-US" w:eastAsia="zh-CN"/>
              </w:rPr>
              <w:t>Agreements:</w:t>
            </w:r>
            <w:r w:rsidRPr="00133F7F">
              <w:rPr>
                <w:lang w:val="en-US" w:eastAsia="zh-CN"/>
              </w:rPr>
              <w:t xml:space="preserve"> In the studies on PUCCH carrier switching for HARQ-ACK, PUCCH carrier switching for different cells operated is considered only for cells that are part of the active UL CA configuration.</w:t>
            </w:r>
          </w:p>
          <w:p w14:paraId="69A273C6" w14:textId="77777777" w:rsidR="005C394B" w:rsidRDefault="005C394B" w:rsidP="00FF15EE">
            <w:pPr>
              <w:rPr>
                <w:szCs w:val="20"/>
                <w:highlight w:val="green"/>
                <w:lang w:val="en-US"/>
              </w:rPr>
            </w:pPr>
          </w:p>
          <w:p w14:paraId="1840541D" w14:textId="77777777" w:rsidR="005C394B" w:rsidRPr="00A90B9F" w:rsidRDefault="005C394B" w:rsidP="00FF15EE">
            <w:pPr>
              <w:rPr>
                <w:rFonts w:ascii="Times New Roman" w:hAnsi="Times New Roman"/>
                <w:szCs w:val="20"/>
              </w:rPr>
            </w:pPr>
            <w:r w:rsidRPr="00B740C1">
              <w:rPr>
                <w:szCs w:val="20"/>
                <w:highlight w:val="green"/>
              </w:rPr>
              <w:t>Agreements</w:t>
            </w:r>
            <w:r w:rsidRPr="00B740C1">
              <w:rPr>
                <w:szCs w:val="20"/>
              </w:rPr>
              <w:t xml:space="preserve">: </w:t>
            </w:r>
            <w:r w:rsidRPr="00B740C1">
              <w:rPr>
                <w:rStyle w:val="af6"/>
                <w:b w:val="0"/>
                <w:bCs w:val="0"/>
                <w:szCs w:val="20"/>
              </w:rPr>
              <w:t>For further study on</w:t>
            </w:r>
            <w:r w:rsidRPr="00B740C1">
              <w:rPr>
                <w:rStyle w:val="apple-converted-space"/>
                <w:rFonts w:ascii="Times New Roman" w:hAnsi="Times New Roman"/>
                <w:szCs w:val="20"/>
              </w:rPr>
              <w:t> </w:t>
            </w:r>
            <w:r w:rsidRPr="00B740C1">
              <w:rPr>
                <w:rStyle w:val="af6"/>
                <w:b w:val="0"/>
                <w:bCs w:val="0"/>
                <w:szCs w:val="20"/>
              </w:rPr>
              <w:t>whether and how to support</w:t>
            </w:r>
            <w:r w:rsidRPr="00B740C1">
              <w:rPr>
                <w:rStyle w:val="apple-converted-space"/>
                <w:rFonts w:ascii="Times New Roman" w:hAnsi="Times New Roman"/>
                <w:szCs w:val="20"/>
              </w:rPr>
              <w:t> </w:t>
            </w:r>
            <w:r w:rsidRPr="00B740C1">
              <w:rPr>
                <w:rStyle w:val="af6"/>
                <w:b w:val="0"/>
                <w:bCs w:val="0"/>
                <w:szCs w:val="20"/>
              </w:rPr>
              <w:t>PUCCH carrier switching</w:t>
            </w:r>
            <w:r w:rsidRPr="00B740C1">
              <w:rPr>
                <w:rStyle w:val="apple-converted-space"/>
                <w:rFonts w:ascii="Times New Roman" w:hAnsi="Times New Roman"/>
                <w:szCs w:val="20"/>
              </w:rPr>
              <w:t> </w:t>
            </w:r>
            <w:r w:rsidRPr="00A90B9F">
              <w:rPr>
                <w:rStyle w:val="af6"/>
                <w:b w:val="0"/>
                <w:bCs w:val="0"/>
                <w:szCs w:val="20"/>
              </w:rPr>
              <w:t>in a PUCCH group, focus on the following three alternatives:</w:t>
            </w:r>
          </w:p>
          <w:p w14:paraId="76E7A690" w14:textId="77777777" w:rsidR="005C394B" w:rsidRPr="00A90B9F" w:rsidRDefault="005C394B" w:rsidP="00FF15EE">
            <w:pPr>
              <w:pStyle w:val="listparagraph"/>
              <w:numPr>
                <w:ilvl w:val="0"/>
                <w:numId w:val="37"/>
              </w:numPr>
              <w:spacing w:before="0" w:beforeAutospacing="0" w:after="0" w:afterAutospacing="0"/>
              <w:rPr>
                <w:rStyle w:val="af6"/>
                <w:rFonts w:eastAsia="Times New Roman"/>
                <w:b w:val="0"/>
                <w:bCs w:val="0"/>
              </w:rPr>
            </w:pPr>
            <w:r w:rsidRPr="00A90B9F">
              <w:rPr>
                <w:rStyle w:val="af6"/>
                <w:rFonts w:eastAsia="Times New Roman"/>
                <w:b w:val="0"/>
                <w:bCs w:val="0"/>
                <w:sz w:val="20"/>
                <w:szCs w:val="20"/>
              </w:rPr>
              <w:t>Alt. 1: PUCCH carrier switching is based dynamic indication in DCI</w:t>
            </w:r>
          </w:p>
          <w:p w14:paraId="2FEDCDD6" w14:textId="77777777" w:rsidR="005C394B" w:rsidRPr="00B740C1" w:rsidRDefault="005C394B" w:rsidP="00FF15EE">
            <w:pPr>
              <w:pStyle w:val="listparagraph"/>
              <w:numPr>
                <w:ilvl w:val="0"/>
                <w:numId w:val="37"/>
              </w:numPr>
              <w:spacing w:before="0" w:beforeAutospacing="0" w:after="0" w:afterAutospacing="0"/>
              <w:rPr>
                <w:rFonts w:ascii="Times New Roman" w:hAnsi="Times New Roman" w:cs="Times New Roman"/>
              </w:rPr>
            </w:pPr>
            <w:r w:rsidRPr="00B740C1">
              <w:rPr>
                <w:rStyle w:val="af6"/>
                <w:rFonts w:eastAsia="Times New Roman"/>
                <w:b w:val="0"/>
                <w:bCs w:val="0"/>
                <w:sz w:val="20"/>
                <w:szCs w:val="20"/>
              </w:rPr>
              <w:t>Alt. 2B: PUCCH carrier switching is based on certain (semi-static) rules</w:t>
            </w:r>
          </w:p>
          <w:p w14:paraId="50FE5765" w14:textId="77777777" w:rsidR="005C394B" w:rsidRPr="00B740C1" w:rsidRDefault="005C394B" w:rsidP="00FF15EE">
            <w:pPr>
              <w:pStyle w:val="listparagraph"/>
              <w:numPr>
                <w:ilvl w:val="0"/>
                <w:numId w:val="37"/>
              </w:numPr>
              <w:spacing w:before="0" w:beforeAutospacing="0" w:after="0" w:afterAutospacing="0"/>
              <w:rPr>
                <w:rFonts w:ascii="Times New Roman" w:eastAsia="Times New Roman" w:hAnsi="Times New Roman" w:cs="Times New Roman"/>
                <w:sz w:val="20"/>
                <w:szCs w:val="20"/>
              </w:rPr>
            </w:pPr>
            <w:r w:rsidRPr="00B740C1">
              <w:rPr>
                <w:rStyle w:val="af6"/>
                <w:rFonts w:eastAsia="Times New Roman"/>
                <w:b w:val="0"/>
                <w:bCs w:val="0"/>
                <w:sz w:val="20"/>
                <w:szCs w:val="20"/>
              </w:rPr>
              <w:t>Alt. 2C: PUCCH carrier switching is based on RRC configured PUCCH cell timing pattern of applicable PUCCH cells</w:t>
            </w:r>
          </w:p>
          <w:p w14:paraId="486B9090" w14:textId="77777777" w:rsidR="005C394B" w:rsidRPr="00B740C1" w:rsidRDefault="005C394B" w:rsidP="00FF15EE">
            <w:pPr>
              <w:pStyle w:val="listparagraph"/>
              <w:numPr>
                <w:ilvl w:val="0"/>
                <w:numId w:val="37"/>
              </w:numPr>
              <w:spacing w:before="0" w:beforeAutospacing="0" w:after="0" w:afterAutospacing="0"/>
              <w:rPr>
                <w:rFonts w:ascii="Times New Roman" w:eastAsia="Times New Roman" w:hAnsi="Times New Roman" w:cs="Times New Roman"/>
                <w:sz w:val="20"/>
                <w:szCs w:val="20"/>
              </w:rPr>
            </w:pPr>
            <w:r w:rsidRPr="00B740C1">
              <w:rPr>
                <w:rStyle w:val="af5"/>
                <w:rFonts w:eastAsia="Times New Roman"/>
                <w:sz w:val="20"/>
                <w:szCs w:val="20"/>
              </w:rPr>
              <w:t xml:space="preserve">Note: In above alternatives, it is assumed that HARQ-ACK corresponding to PDSCH received on a </w:t>
            </w:r>
            <w:proofErr w:type="spellStart"/>
            <w:r w:rsidRPr="00B740C1">
              <w:rPr>
                <w:rStyle w:val="af5"/>
                <w:rFonts w:eastAsia="Times New Roman"/>
                <w:sz w:val="20"/>
                <w:szCs w:val="20"/>
              </w:rPr>
              <w:t>Pcell</w:t>
            </w:r>
            <w:proofErr w:type="spellEnd"/>
            <w:r w:rsidRPr="00B740C1">
              <w:rPr>
                <w:rStyle w:val="af5"/>
                <w:rFonts w:eastAsia="Times New Roman"/>
                <w:sz w:val="20"/>
                <w:szCs w:val="20"/>
              </w:rPr>
              <w:t>/</w:t>
            </w:r>
            <w:proofErr w:type="spellStart"/>
            <w:r w:rsidRPr="00B740C1">
              <w:rPr>
                <w:rStyle w:val="af5"/>
                <w:rFonts w:eastAsia="Times New Roman"/>
                <w:sz w:val="20"/>
                <w:szCs w:val="20"/>
              </w:rPr>
              <w:t>PScell</w:t>
            </w:r>
            <w:proofErr w:type="spellEnd"/>
            <w:r w:rsidRPr="00B740C1">
              <w:rPr>
                <w:rStyle w:val="af5"/>
                <w:rFonts w:eastAsia="Times New Roman"/>
                <w:sz w:val="20"/>
                <w:szCs w:val="20"/>
              </w:rPr>
              <w:t xml:space="preserve"> or an </w:t>
            </w:r>
            <w:proofErr w:type="spellStart"/>
            <w:r w:rsidRPr="00B740C1">
              <w:rPr>
                <w:rStyle w:val="af5"/>
                <w:rFonts w:eastAsia="Times New Roman"/>
                <w:sz w:val="20"/>
                <w:szCs w:val="20"/>
              </w:rPr>
              <w:t>Scell</w:t>
            </w:r>
            <w:proofErr w:type="spellEnd"/>
            <w:r w:rsidRPr="00B740C1">
              <w:rPr>
                <w:rStyle w:val="af5"/>
                <w:rFonts w:eastAsia="Times New Roman"/>
                <w:sz w:val="20"/>
                <w:szCs w:val="20"/>
              </w:rPr>
              <w:t xml:space="preserve"> in a PUCCH group, can be sent on a PUCCH on</w:t>
            </w:r>
            <w:r w:rsidRPr="00B740C1">
              <w:rPr>
                <w:rStyle w:val="apple-converted-space"/>
                <w:rFonts w:ascii="Times New Roman" w:eastAsia="Times New Roman" w:hAnsi="Times New Roman" w:cs="Times New Roman"/>
                <w:i/>
                <w:iCs/>
                <w:sz w:val="20"/>
                <w:szCs w:val="20"/>
              </w:rPr>
              <w:t> </w:t>
            </w:r>
            <w:r w:rsidRPr="00B740C1">
              <w:rPr>
                <w:rStyle w:val="af5"/>
                <w:rFonts w:eastAsia="Times New Roman"/>
                <w:sz w:val="20"/>
                <w:szCs w:val="20"/>
              </w:rPr>
              <w:t xml:space="preserve">an </w:t>
            </w:r>
            <w:proofErr w:type="spellStart"/>
            <w:r w:rsidRPr="00B740C1">
              <w:rPr>
                <w:rStyle w:val="af5"/>
                <w:rFonts w:eastAsia="Times New Roman"/>
                <w:sz w:val="20"/>
                <w:szCs w:val="20"/>
              </w:rPr>
              <w:t>Scell</w:t>
            </w:r>
            <w:proofErr w:type="spellEnd"/>
            <w:r w:rsidRPr="00B740C1">
              <w:rPr>
                <w:rStyle w:val="apple-converted-space"/>
                <w:rFonts w:ascii="Times New Roman" w:eastAsia="Times New Roman" w:hAnsi="Times New Roman" w:cs="Times New Roman"/>
                <w:i/>
                <w:iCs/>
                <w:sz w:val="20"/>
                <w:szCs w:val="20"/>
              </w:rPr>
              <w:t> </w:t>
            </w:r>
            <w:r w:rsidRPr="00B740C1">
              <w:rPr>
                <w:rStyle w:val="af5"/>
                <w:rFonts w:eastAsia="Times New Roman"/>
                <w:sz w:val="20"/>
                <w:szCs w:val="20"/>
              </w:rPr>
              <w:t>also instead of</w:t>
            </w:r>
            <w:r w:rsidRPr="00B740C1">
              <w:rPr>
                <w:rStyle w:val="apple-converted-space"/>
                <w:rFonts w:ascii="Times New Roman" w:eastAsia="Times New Roman" w:hAnsi="Times New Roman" w:cs="Times New Roman"/>
                <w:i/>
                <w:iCs/>
                <w:sz w:val="20"/>
                <w:szCs w:val="20"/>
              </w:rPr>
              <w:t> </w:t>
            </w:r>
            <w:r w:rsidRPr="00B740C1">
              <w:rPr>
                <w:rStyle w:val="af5"/>
                <w:rFonts w:eastAsia="Times New Roman"/>
                <w:sz w:val="20"/>
                <w:szCs w:val="20"/>
              </w:rPr>
              <w:t>only on</w:t>
            </w:r>
            <w:r w:rsidRPr="00B740C1">
              <w:rPr>
                <w:rStyle w:val="apple-converted-space"/>
                <w:rFonts w:ascii="Times New Roman" w:eastAsia="Times New Roman" w:hAnsi="Times New Roman" w:cs="Times New Roman"/>
                <w:i/>
                <w:iCs/>
                <w:sz w:val="20"/>
                <w:szCs w:val="20"/>
              </w:rPr>
              <w:t> </w:t>
            </w:r>
            <w:proofErr w:type="spellStart"/>
            <w:r w:rsidRPr="00B740C1">
              <w:rPr>
                <w:rStyle w:val="af5"/>
                <w:rFonts w:eastAsia="Times New Roman"/>
                <w:sz w:val="20"/>
                <w:szCs w:val="20"/>
              </w:rPr>
              <w:t>Pcell</w:t>
            </w:r>
            <w:proofErr w:type="spellEnd"/>
            <w:r w:rsidRPr="00B740C1">
              <w:rPr>
                <w:rStyle w:val="af5"/>
                <w:rFonts w:eastAsia="Times New Roman"/>
                <w:sz w:val="20"/>
                <w:szCs w:val="20"/>
              </w:rPr>
              <w:t>/</w:t>
            </w:r>
            <w:proofErr w:type="spellStart"/>
            <w:r w:rsidRPr="00B740C1">
              <w:rPr>
                <w:rStyle w:val="af5"/>
                <w:rFonts w:eastAsia="Times New Roman"/>
                <w:sz w:val="20"/>
                <w:szCs w:val="20"/>
              </w:rPr>
              <w:t>PScell</w:t>
            </w:r>
            <w:proofErr w:type="spellEnd"/>
            <w:r w:rsidRPr="00B740C1">
              <w:rPr>
                <w:rStyle w:val="af5"/>
                <w:rFonts w:eastAsia="Times New Roman"/>
                <w:sz w:val="20"/>
                <w:szCs w:val="20"/>
              </w:rPr>
              <w:t>/PUCCH-SCell</w:t>
            </w:r>
            <w:r w:rsidRPr="00B740C1">
              <w:rPr>
                <w:rStyle w:val="apple-converted-space"/>
                <w:rFonts w:ascii="Times New Roman" w:eastAsia="Times New Roman" w:hAnsi="Times New Roman" w:cs="Times New Roman"/>
                <w:i/>
                <w:iCs/>
                <w:sz w:val="20"/>
                <w:szCs w:val="20"/>
              </w:rPr>
              <w:t> </w:t>
            </w:r>
            <w:r w:rsidRPr="00B740C1">
              <w:rPr>
                <w:rStyle w:val="af5"/>
                <w:rFonts w:eastAsia="Times New Roman"/>
                <w:sz w:val="20"/>
                <w:szCs w:val="20"/>
              </w:rPr>
              <w:t xml:space="preserve">in the same PUCCH group, as opposed to Rel-16 where HARQ-ACK corresponding to PDSCH received on a </w:t>
            </w:r>
            <w:proofErr w:type="spellStart"/>
            <w:r w:rsidRPr="00B740C1">
              <w:rPr>
                <w:rStyle w:val="af5"/>
                <w:rFonts w:eastAsia="Times New Roman"/>
                <w:sz w:val="20"/>
                <w:szCs w:val="20"/>
              </w:rPr>
              <w:t>Pcell</w:t>
            </w:r>
            <w:proofErr w:type="spellEnd"/>
            <w:r w:rsidRPr="00B740C1">
              <w:rPr>
                <w:rStyle w:val="af5"/>
                <w:rFonts w:eastAsia="Times New Roman"/>
                <w:sz w:val="20"/>
                <w:szCs w:val="20"/>
              </w:rPr>
              <w:t>/</w:t>
            </w:r>
            <w:proofErr w:type="spellStart"/>
            <w:r w:rsidRPr="00B740C1">
              <w:rPr>
                <w:rStyle w:val="af5"/>
                <w:rFonts w:eastAsia="Times New Roman"/>
                <w:sz w:val="20"/>
                <w:szCs w:val="20"/>
              </w:rPr>
              <w:t>PScell</w:t>
            </w:r>
            <w:proofErr w:type="spellEnd"/>
            <w:r w:rsidRPr="00B740C1">
              <w:rPr>
                <w:rStyle w:val="af5"/>
                <w:rFonts w:eastAsia="Times New Roman"/>
                <w:sz w:val="20"/>
                <w:szCs w:val="20"/>
              </w:rPr>
              <w:t xml:space="preserve"> or an </w:t>
            </w:r>
            <w:proofErr w:type="spellStart"/>
            <w:r w:rsidRPr="00B740C1">
              <w:rPr>
                <w:rStyle w:val="af5"/>
                <w:rFonts w:eastAsia="Times New Roman"/>
                <w:sz w:val="20"/>
                <w:szCs w:val="20"/>
              </w:rPr>
              <w:t>Scell</w:t>
            </w:r>
            <w:proofErr w:type="spellEnd"/>
            <w:r w:rsidRPr="00B740C1">
              <w:rPr>
                <w:rStyle w:val="af5"/>
                <w:rFonts w:eastAsia="Times New Roman"/>
                <w:sz w:val="20"/>
                <w:szCs w:val="20"/>
              </w:rPr>
              <w:t xml:space="preserve"> in a PUCCH group can only be sent on </w:t>
            </w:r>
            <w:proofErr w:type="spellStart"/>
            <w:r w:rsidRPr="00B740C1">
              <w:rPr>
                <w:rStyle w:val="af5"/>
                <w:rFonts w:eastAsia="Times New Roman"/>
                <w:sz w:val="20"/>
                <w:szCs w:val="20"/>
              </w:rPr>
              <w:t>Pcell</w:t>
            </w:r>
            <w:proofErr w:type="spellEnd"/>
            <w:r w:rsidRPr="00B740C1">
              <w:rPr>
                <w:rStyle w:val="af5"/>
                <w:rFonts w:eastAsia="Times New Roman"/>
                <w:sz w:val="20"/>
                <w:szCs w:val="20"/>
              </w:rPr>
              <w:t>/</w:t>
            </w:r>
            <w:proofErr w:type="spellStart"/>
            <w:r w:rsidRPr="00B740C1">
              <w:rPr>
                <w:rStyle w:val="af5"/>
                <w:rFonts w:eastAsia="Times New Roman"/>
                <w:sz w:val="20"/>
                <w:szCs w:val="20"/>
              </w:rPr>
              <w:t>PScell</w:t>
            </w:r>
            <w:proofErr w:type="spellEnd"/>
            <w:r w:rsidRPr="00B740C1">
              <w:rPr>
                <w:rStyle w:val="af5"/>
                <w:rFonts w:eastAsia="Times New Roman"/>
                <w:sz w:val="20"/>
                <w:szCs w:val="20"/>
              </w:rPr>
              <w:t>/PUCCH-SCell in the same PUCCH group.</w:t>
            </w:r>
          </w:p>
          <w:p w14:paraId="6195BA1B" w14:textId="77777777" w:rsidR="005C394B" w:rsidRPr="00F65A69" w:rsidRDefault="005C394B" w:rsidP="00FF15EE">
            <w:pPr>
              <w:pStyle w:val="listparagraph"/>
              <w:numPr>
                <w:ilvl w:val="0"/>
                <w:numId w:val="37"/>
              </w:numPr>
              <w:spacing w:before="0" w:beforeAutospacing="0"/>
              <w:rPr>
                <w:rFonts w:ascii="Times New Roman" w:eastAsia="Times New Roman" w:hAnsi="Times New Roman" w:cs="Times New Roman"/>
                <w:i/>
                <w:iCs/>
                <w:sz w:val="20"/>
                <w:szCs w:val="20"/>
              </w:rPr>
            </w:pPr>
            <w:r w:rsidRPr="00B740C1">
              <w:rPr>
                <w:rStyle w:val="af6"/>
                <w:rFonts w:eastAsia="Times New Roman"/>
                <w:b w:val="0"/>
                <w:bCs w:val="0"/>
                <w:i/>
                <w:iCs/>
                <w:sz w:val="20"/>
                <w:szCs w:val="20"/>
              </w:rPr>
              <w:t>Note: Realistic deployment scenarios including TDD configurations should be considered for the study</w:t>
            </w:r>
          </w:p>
        </w:tc>
      </w:tr>
    </w:tbl>
    <w:p w14:paraId="2A93B2A2" w14:textId="23D93B64" w:rsidR="005C394B" w:rsidRPr="00A90B9F" w:rsidRDefault="005C394B" w:rsidP="00EB2F6C">
      <w:pPr>
        <w:pStyle w:val="B1"/>
        <w:rPr>
          <w:b/>
          <w:sz w:val="2"/>
          <w:szCs w:val="2"/>
          <w:u w:val="single"/>
        </w:rPr>
      </w:pPr>
    </w:p>
    <w:p w14:paraId="53892A78" w14:textId="26598BFB" w:rsidR="00FF15EE" w:rsidRDefault="0005312F" w:rsidP="00EB2F6C">
      <w:pPr>
        <w:pStyle w:val="B1"/>
        <w:rPr>
          <w:lang w:eastAsia="ko-KR"/>
        </w:rPr>
      </w:pPr>
      <w:r w:rsidRPr="00A90B9F">
        <w:rPr>
          <w:lang w:eastAsia="ko-KR"/>
        </w:rPr>
        <w:t>D</w:t>
      </w:r>
      <w:r w:rsidRPr="00A90B9F">
        <w:rPr>
          <w:rFonts w:hint="eastAsia"/>
          <w:lang w:eastAsia="ko-KR"/>
        </w:rPr>
        <w:t xml:space="preserve">uring </w:t>
      </w:r>
      <w:r>
        <w:rPr>
          <w:lang w:eastAsia="ko-KR"/>
        </w:rPr>
        <w:t xml:space="preserve">previous meetings, the PUCCH carrier switching has been discussed and three alternatives have tradeoff between robustness and flexibility. In our view, the motivation of PUCCH carrier switching comes from the latency of SPS HARQ-ACK. </w:t>
      </w:r>
      <w:r w:rsidR="00174F78">
        <w:rPr>
          <w:lang w:eastAsia="ko-KR"/>
        </w:rPr>
        <w:t xml:space="preserve">Since the UE does not need to monitor PDCCH during SPS reception and its HARQ-ACK feedback, the dynamic switching (Alt 1) may not be effective in the SPS HARQ-ACK. </w:t>
      </w:r>
    </w:p>
    <w:p w14:paraId="3A099901" w14:textId="4EA5E21C" w:rsidR="00FF15EE" w:rsidRDefault="00174F78" w:rsidP="00EB2F6C">
      <w:pPr>
        <w:pStyle w:val="B1"/>
        <w:rPr>
          <w:lang w:eastAsia="ko-KR"/>
        </w:rPr>
      </w:pPr>
      <w:r>
        <w:rPr>
          <w:lang w:eastAsia="ko-KR"/>
        </w:rPr>
        <w:t>To make this feasible, we can consider Alt 2B/2C, where the PUCCH carrier switching is based on RRC signalling.</w:t>
      </w:r>
      <w:r w:rsidR="00FF15EE">
        <w:rPr>
          <w:lang w:eastAsia="ko-KR"/>
        </w:rPr>
        <w:t xml:space="preserve"> We think that an activating DCI has to indicate whether PUCCH carrier switching is enabled and which rule is used in order to affect SPS HARQ-ACK transmissions. </w:t>
      </w:r>
      <w:r w:rsidR="00FF15EE">
        <w:rPr>
          <w:rFonts w:hint="eastAsia"/>
          <w:lang w:eastAsia="ko-KR"/>
        </w:rPr>
        <w:t>I</w:t>
      </w:r>
      <w:r w:rsidR="00FF15EE">
        <w:rPr>
          <w:lang w:eastAsia="ko-KR"/>
        </w:rPr>
        <w:t xml:space="preserve">n this perspective, we would prefer the </w:t>
      </w:r>
      <w:r w:rsidR="009F6737">
        <w:rPr>
          <w:lang w:eastAsia="ko-KR"/>
        </w:rPr>
        <w:t>alternatives with minimal DCI interventions.</w:t>
      </w:r>
    </w:p>
    <w:p w14:paraId="2198E1F5" w14:textId="27C685C4" w:rsidR="00FF15EE" w:rsidRDefault="00FF15EE" w:rsidP="00EB2F6C">
      <w:pPr>
        <w:pStyle w:val="B1"/>
        <w:rPr>
          <w:lang w:eastAsia="ko-KR"/>
        </w:rPr>
      </w:pPr>
      <w:r>
        <w:rPr>
          <w:rFonts w:hint="eastAsia"/>
          <w:lang w:eastAsia="ko-KR"/>
        </w:rPr>
        <w:t>O</w:t>
      </w:r>
      <w:r>
        <w:rPr>
          <w:lang w:eastAsia="ko-KR"/>
        </w:rPr>
        <w:t xml:space="preserve">n the other hand, </w:t>
      </w:r>
      <w:r w:rsidR="009F6737">
        <w:rPr>
          <w:lang w:eastAsia="ko-KR"/>
        </w:rPr>
        <w:t xml:space="preserve">the Alt 2B/2C does not rely on the DCI. Comparing the Alt 2C, the rule should be introduced for the Alt 2B, and the UE can execute this rule at least once. However, depending on the configured rule, the UE may need depend on the dynamic slot format. To avoid this, the rule can rely on the semi-static UL symbols in serving cells. </w:t>
      </w:r>
    </w:p>
    <w:p w14:paraId="0606767D" w14:textId="67EB715C" w:rsidR="004A36BF" w:rsidRDefault="004A36BF" w:rsidP="00EB2F6C">
      <w:pPr>
        <w:pStyle w:val="B1"/>
        <w:rPr>
          <w:lang w:eastAsia="ko-KR"/>
        </w:rPr>
      </w:pPr>
      <w:r>
        <w:rPr>
          <w:lang w:eastAsia="ko-KR"/>
        </w:rPr>
        <w:lastRenderedPageBreak/>
        <w:t xml:space="preserve">In this perspective, the Alt 2C seems to be the robust and the simplest, because the UE is indicated one PUCCH cell. </w:t>
      </w:r>
      <w:r w:rsidR="00C75B7C">
        <w:rPr>
          <w:lang w:eastAsia="ko-KR"/>
        </w:rPr>
        <w:t>The TDD slot patterns can be configured and no additional DCI is</w:t>
      </w:r>
    </w:p>
    <w:p w14:paraId="20CCA7F1" w14:textId="67365C36" w:rsidR="00C75B7C" w:rsidRPr="00F65A69" w:rsidRDefault="00C75B7C" w:rsidP="00C75B7C">
      <w:pPr>
        <w:pStyle w:val="B1"/>
        <w:rPr>
          <w:b/>
          <w:lang w:eastAsia="ko-KR"/>
        </w:rPr>
      </w:pPr>
      <w:bookmarkStart w:id="8" w:name="_Ref71626125"/>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602537">
        <w:rPr>
          <w:b/>
          <w:noProof/>
          <w:kern w:val="2"/>
          <w:szCs w:val="22"/>
          <w:lang w:eastAsia="ko-KR"/>
        </w:rPr>
        <w:t>1</w:t>
      </w:r>
      <w:r>
        <w:fldChar w:fldCharType="end"/>
      </w:r>
      <w:r>
        <w:t>:</w:t>
      </w:r>
      <w:r>
        <w:rPr>
          <w:lang w:eastAsia="ko-KR"/>
        </w:rPr>
        <w:t xml:space="preserve"> </w:t>
      </w:r>
      <w:r w:rsidRPr="00F65A69">
        <w:rPr>
          <w:b/>
          <w:lang w:eastAsia="ko-KR"/>
        </w:rPr>
        <w:t>If PUCCH carrier switching is supported, then the RRC configured approach is adopted, and further consider dynamic switching is discussed.</w:t>
      </w:r>
      <w:bookmarkEnd w:id="8"/>
    </w:p>
    <w:p w14:paraId="4CF36B02" w14:textId="31B93A07" w:rsidR="004A36BF" w:rsidRDefault="00C75B7C" w:rsidP="00C75B7C">
      <w:pPr>
        <w:pStyle w:val="B1"/>
        <w:rPr>
          <w:lang w:eastAsia="ko-KR"/>
        </w:rPr>
      </w:pPr>
      <w:r>
        <w:rPr>
          <w:rFonts w:hint="eastAsia"/>
          <w:lang w:eastAsia="ko-KR"/>
        </w:rPr>
        <w:t>I</w:t>
      </w:r>
      <w:r>
        <w:rPr>
          <w:lang w:eastAsia="ko-KR"/>
        </w:rPr>
        <w:t>n addition to SPS HARQ-ACK, we think that the PUCCH carrier switching can be applied to other UCI types as well. As the current specification does, the UE multiplex</w:t>
      </w:r>
      <w:r w:rsidR="00000967">
        <w:rPr>
          <w:lang w:eastAsia="ko-KR"/>
        </w:rPr>
        <w:t xml:space="preserve">es UCI types in a single PUCCH resource (intra-UL multiplexing), and </w:t>
      </w:r>
      <w:proofErr w:type="spellStart"/>
      <w:r w:rsidR="00000967">
        <w:rPr>
          <w:lang w:eastAsia="ko-KR"/>
        </w:rPr>
        <w:t>nextly</w:t>
      </w:r>
      <w:proofErr w:type="spellEnd"/>
      <w:r w:rsidR="00000967">
        <w:rPr>
          <w:lang w:eastAsia="ko-KR"/>
        </w:rPr>
        <w:t xml:space="preserve"> TDD slot patterns and/or group common DCIs are considered.</w:t>
      </w:r>
      <w:r w:rsidR="00602537">
        <w:rPr>
          <w:lang w:eastAsia="ko-KR"/>
        </w:rPr>
        <w:t xml:space="preserve"> Also, we have to discuss UCI repetition with PUCCH carrier switching because the transmission may have ambiguity to the frequency resource.</w:t>
      </w:r>
    </w:p>
    <w:p w14:paraId="6C270D87" w14:textId="316E8022" w:rsidR="00000967" w:rsidRPr="00A90B9F" w:rsidRDefault="00000967" w:rsidP="00A90B9F">
      <w:pPr>
        <w:pStyle w:val="B1"/>
        <w:rPr>
          <w:b/>
          <w:lang w:eastAsia="ko-KR"/>
        </w:rPr>
      </w:pPr>
      <w:bookmarkStart w:id="9" w:name="_Ref71626133"/>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602537">
        <w:rPr>
          <w:b/>
          <w:noProof/>
          <w:kern w:val="2"/>
          <w:szCs w:val="22"/>
          <w:lang w:eastAsia="ko-KR"/>
        </w:rPr>
        <w:t>2</w:t>
      </w:r>
      <w:r w:rsidRPr="00A90B9F">
        <w:rPr>
          <w:b/>
        </w:rPr>
        <w:fldChar w:fldCharType="end"/>
      </w:r>
      <w:r w:rsidRPr="00A90B9F">
        <w:rPr>
          <w:b/>
        </w:rPr>
        <w:t xml:space="preserve">: Any UCI type can support the </w:t>
      </w:r>
      <w:r w:rsidRPr="00A90B9F">
        <w:rPr>
          <w:rFonts w:hint="eastAsia"/>
          <w:b/>
          <w:lang w:eastAsia="ko-KR"/>
        </w:rPr>
        <w:t>P</w:t>
      </w:r>
      <w:r w:rsidRPr="00A90B9F">
        <w:rPr>
          <w:b/>
          <w:lang w:eastAsia="ko-KR"/>
        </w:rPr>
        <w:t>UCCH carrier switching if supported.</w:t>
      </w:r>
      <w:bookmarkEnd w:id="9"/>
    </w:p>
    <w:p w14:paraId="2BBB60CD" w14:textId="15863B11" w:rsidR="005C394B" w:rsidRDefault="005C394B" w:rsidP="005C394B">
      <w:pPr>
        <w:pStyle w:val="H2"/>
        <w:numPr>
          <w:ilvl w:val="1"/>
          <w:numId w:val="1"/>
        </w:numPr>
        <w:ind w:leftChars="0"/>
      </w:pPr>
      <w:r>
        <w:t>Type-3 HARQ-ACK codebook</w:t>
      </w:r>
      <w:r w:rsidR="00AE0393">
        <w:t xml:space="preserve"> enhancement</w:t>
      </w:r>
    </w:p>
    <w:p w14:paraId="61781F26" w14:textId="24F27C2B" w:rsidR="00EB2F6C" w:rsidRPr="00EB2F6C" w:rsidRDefault="00EB2F6C" w:rsidP="00EB2F6C">
      <w:pPr>
        <w:pStyle w:val="B1"/>
        <w:rPr>
          <w:rFonts w:eastAsiaTheme="minorEastAsia"/>
          <w:b/>
          <w:u w:val="single"/>
          <w:lang w:eastAsia="ko-KR"/>
        </w:rPr>
      </w:pPr>
      <w:r w:rsidRPr="00A90B9F">
        <w:rPr>
          <w:b/>
          <w:u w:val="single"/>
        </w:rPr>
        <w:t>Size of (enhanced) Type-3 HARQ-ACK codebook</w:t>
      </w:r>
      <w:r>
        <w:rPr>
          <w:b/>
          <w:u w:val="single"/>
        </w:rPr>
        <w:t>:</w:t>
      </w:r>
    </w:p>
    <w:p w14:paraId="15D5BDCE" w14:textId="222CFF5A" w:rsidR="004F595F" w:rsidRDefault="000129D7" w:rsidP="00756DD4">
      <w:pPr>
        <w:pStyle w:val="B1"/>
        <w:rPr>
          <w:rFonts w:eastAsiaTheme="minorEastAsia"/>
          <w:lang w:eastAsia="ko-KR"/>
        </w:rPr>
      </w:pPr>
      <w:r>
        <w:rPr>
          <w:rFonts w:eastAsiaTheme="minorEastAsia" w:hint="eastAsia"/>
          <w:lang w:eastAsia="ko-KR"/>
        </w:rPr>
        <w:t>T</w:t>
      </w:r>
      <w:r>
        <w:rPr>
          <w:rFonts w:eastAsiaTheme="minorEastAsia"/>
          <w:lang w:eastAsia="ko-KR"/>
        </w:rPr>
        <w:t>his issue has been discussed in terms of an option of SPS HARQ-ACK dropping. The idea is to transmit UCIs including dropped SPS HARQ-ACK, on the framework of Type-3 HARQ-ACK codebook. Most companies sympathize the size of Type-3 HARQ-ACK codebook is too large</w:t>
      </w:r>
      <w:r w:rsidR="004F595F">
        <w:rPr>
          <w:rFonts w:eastAsiaTheme="minorEastAsia"/>
          <w:lang w:eastAsia="ko-KR"/>
        </w:rPr>
        <w:t xml:space="preserve">, and we also think that the size should be reduced. Regarding this, </w:t>
      </w:r>
      <w:r w:rsidR="00B201E5">
        <w:rPr>
          <w:rFonts w:eastAsiaTheme="minorEastAsia"/>
          <w:lang w:eastAsia="ko-KR"/>
        </w:rPr>
        <w:t xml:space="preserve">the feature lead summary captured two points. </w:t>
      </w:r>
    </w:p>
    <w:p w14:paraId="334CED19" w14:textId="329D4571" w:rsidR="00B201E5" w:rsidRDefault="00B201E5" w:rsidP="00756DD4">
      <w:pPr>
        <w:pStyle w:val="B1"/>
        <w:rPr>
          <w:rFonts w:eastAsiaTheme="minorEastAsia"/>
          <w:lang w:eastAsia="ko-KR"/>
        </w:rPr>
      </w:pPr>
      <w:r>
        <w:rPr>
          <w:rFonts w:eastAsiaTheme="minorEastAsia" w:hint="eastAsia"/>
          <w:lang w:eastAsia="ko-KR"/>
        </w:rPr>
        <w:t>O</w:t>
      </w:r>
      <w:r>
        <w:rPr>
          <w:rFonts w:eastAsiaTheme="minorEastAsia"/>
          <w:lang w:eastAsia="ko-KR"/>
        </w:rPr>
        <w:t xml:space="preserve">ne point is to introduce a priority indicator in the DCI format 1_1 to trigger Type-3 HARQ-ACK codebook. This priority indicator governs the PUCCH transmission and may switch the priority of some HPID from the scheduling DCI. It is reasonable because the Type-3 HARQ-ACK codebook shares one priority and this is given by the triggering DCI. </w:t>
      </w:r>
    </w:p>
    <w:p w14:paraId="431ADBA0" w14:textId="772B9F1D" w:rsidR="00DC5679" w:rsidRDefault="00B201E5" w:rsidP="00756DD4">
      <w:pPr>
        <w:pStyle w:val="B1"/>
        <w:rPr>
          <w:rFonts w:eastAsiaTheme="minorEastAsia"/>
          <w:lang w:eastAsia="ko-KR"/>
        </w:rPr>
      </w:pPr>
      <w:r>
        <w:rPr>
          <w:rFonts w:eastAsiaTheme="minorEastAsia" w:hint="eastAsia"/>
          <w:lang w:eastAsia="ko-KR"/>
        </w:rPr>
        <w:t>T</w:t>
      </w:r>
      <w:r>
        <w:rPr>
          <w:rFonts w:eastAsiaTheme="minorEastAsia"/>
          <w:lang w:eastAsia="ko-KR"/>
        </w:rPr>
        <w:t xml:space="preserve">he other point is to reduce the size of a Type-3 HARQ-ACK codebook. </w:t>
      </w:r>
      <w:r w:rsidR="00961E39">
        <w:rPr>
          <w:rFonts w:eastAsiaTheme="minorEastAsia"/>
          <w:lang w:eastAsia="ko-KR"/>
        </w:rPr>
        <w:t xml:space="preserve">Although the </w:t>
      </w:r>
      <w:r w:rsidR="004B160D">
        <w:rPr>
          <w:rFonts w:eastAsiaTheme="minorEastAsia"/>
          <w:lang w:eastAsia="ko-KR"/>
        </w:rPr>
        <w:t xml:space="preserve">activation/release DCI is dynamically indicated, the gNB receives </w:t>
      </w:r>
      <w:r w:rsidR="00AF2F45">
        <w:rPr>
          <w:rFonts w:eastAsiaTheme="minorEastAsia"/>
          <w:lang w:eastAsia="ko-KR"/>
        </w:rPr>
        <w:t>HARQ-ACK. In our understanding, this is as reliable as the RRC signalling. We prefer to include only activated SPS, which naturally includes in activated serving cells.</w:t>
      </w:r>
    </w:p>
    <w:p w14:paraId="567DCEA6" w14:textId="1E53C6D6" w:rsidR="00B201E5" w:rsidRDefault="00DC5679" w:rsidP="00A946C1">
      <w:pPr>
        <w:pStyle w:val="B1"/>
        <w:rPr>
          <w:rFonts w:eastAsiaTheme="minorEastAsia"/>
          <w:lang w:eastAsia="ko-KR"/>
        </w:rPr>
      </w:pPr>
      <w:r>
        <w:rPr>
          <w:rFonts w:eastAsiaTheme="minorEastAsia" w:hint="eastAsia"/>
          <w:lang w:eastAsia="ko-KR"/>
        </w:rPr>
        <w:t>S</w:t>
      </w:r>
      <w:r>
        <w:rPr>
          <w:rFonts w:eastAsiaTheme="minorEastAsia"/>
          <w:lang w:eastAsia="ko-KR"/>
        </w:rPr>
        <w:t>ome other enhancements can be further considered. For instance, DCI format 1_1 can include other fields such as carrier indication field</w:t>
      </w:r>
      <w:r w:rsidR="003A5BF4">
        <w:rPr>
          <w:rFonts w:eastAsiaTheme="minorEastAsia"/>
          <w:lang w:eastAsia="ko-KR"/>
        </w:rPr>
        <w:t xml:space="preserve"> or codebook triggering field</w:t>
      </w:r>
      <w:r>
        <w:rPr>
          <w:rFonts w:eastAsiaTheme="minorEastAsia"/>
          <w:lang w:eastAsia="ko-KR"/>
        </w:rPr>
        <w:t xml:space="preserve">. </w:t>
      </w:r>
      <w:r w:rsidR="003A5BF4">
        <w:rPr>
          <w:rFonts w:eastAsiaTheme="minorEastAsia"/>
          <w:lang w:eastAsia="ko-KR"/>
        </w:rPr>
        <w:t xml:space="preserve">Those </w:t>
      </w:r>
      <w:r>
        <w:rPr>
          <w:rFonts w:eastAsiaTheme="minorEastAsia"/>
          <w:lang w:eastAsia="ko-KR"/>
        </w:rPr>
        <w:t>field</w:t>
      </w:r>
      <w:r w:rsidR="003A5BF4">
        <w:rPr>
          <w:rFonts w:eastAsiaTheme="minorEastAsia"/>
          <w:lang w:eastAsia="ko-KR"/>
        </w:rPr>
        <w:t>s</w:t>
      </w:r>
      <w:r>
        <w:rPr>
          <w:rFonts w:eastAsiaTheme="minorEastAsia"/>
          <w:lang w:eastAsia="ko-KR"/>
        </w:rPr>
        <w:t xml:space="preserve"> can </w:t>
      </w:r>
      <w:r w:rsidR="00A946C1">
        <w:rPr>
          <w:rFonts w:eastAsiaTheme="minorEastAsia" w:hint="eastAsia"/>
          <w:lang w:eastAsia="ko-KR"/>
        </w:rPr>
        <w:t>i</w:t>
      </w:r>
      <w:r w:rsidR="00A946C1">
        <w:rPr>
          <w:rFonts w:eastAsiaTheme="minorEastAsia"/>
          <w:lang w:eastAsia="ko-KR"/>
        </w:rPr>
        <w:t>nclude/exclude relevant serving cells</w:t>
      </w:r>
      <w:r w:rsidR="003A5BF4">
        <w:rPr>
          <w:rFonts w:eastAsiaTheme="minorEastAsia"/>
          <w:lang w:eastAsia="ko-KR"/>
        </w:rPr>
        <w:t xml:space="preserve"> or point to an index</w:t>
      </w:r>
      <w:r w:rsidR="00A946C1">
        <w:rPr>
          <w:rFonts w:eastAsiaTheme="minorEastAsia"/>
          <w:lang w:eastAsia="ko-KR"/>
        </w:rPr>
        <w:t xml:space="preserve">. In addition, </w:t>
      </w:r>
      <w:r w:rsidR="00AF2F45">
        <w:rPr>
          <w:rFonts w:eastAsiaTheme="minorEastAsia"/>
          <w:lang w:eastAsia="ko-KR"/>
        </w:rPr>
        <w:t xml:space="preserve">depending on the SPS (N)ACK skipping discussions, we can support a subset of SPS HARQ-ACK forms the enhanced </w:t>
      </w:r>
      <w:r w:rsidR="00AF027C">
        <w:rPr>
          <w:rFonts w:eastAsiaTheme="minorEastAsia"/>
          <w:lang w:eastAsia="ko-KR"/>
        </w:rPr>
        <w:t xml:space="preserve">Type-3 HARQ-ACK </w:t>
      </w:r>
      <w:r w:rsidR="00AF2F45">
        <w:rPr>
          <w:rFonts w:eastAsiaTheme="minorEastAsia"/>
          <w:lang w:eastAsia="ko-KR"/>
        </w:rPr>
        <w:t xml:space="preserve">codebook. </w:t>
      </w:r>
      <w:r w:rsidR="00AF027C">
        <w:rPr>
          <w:rFonts w:eastAsiaTheme="minorEastAsia"/>
          <w:lang w:eastAsia="ko-KR"/>
        </w:rPr>
        <w:t xml:space="preserve">If some of SPS PDSCH is received among a set of SPS, then SPS HARQ-ACK bits </w:t>
      </w:r>
      <w:r w:rsidR="00A946C1">
        <w:rPr>
          <w:rFonts w:eastAsiaTheme="minorEastAsia"/>
          <w:lang w:eastAsia="ko-KR"/>
        </w:rPr>
        <w:t>may</w:t>
      </w:r>
      <w:r w:rsidR="00AF027C">
        <w:rPr>
          <w:rFonts w:eastAsiaTheme="minorEastAsia"/>
          <w:lang w:eastAsia="ko-KR"/>
        </w:rPr>
        <w:t xml:space="preserve"> be compressed in this codebook.</w:t>
      </w:r>
    </w:p>
    <w:p w14:paraId="146E3B9C" w14:textId="77777777" w:rsidR="001265E3" w:rsidRDefault="001265E3" w:rsidP="001265E3">
      <w:pPr>
        <w:pStyle w:val="B1"/>
        <w:rPr>
          <w:rFonts w:eastAsiaTheme="minorEastAsia"/>
          <w:lang w:eastAsia="ko-KR"/>
        </w:rPr>
      </w:pPr>
      <w:r>
        <w:rPr>
          <w:rFonts w:eastAsiaTheme="minorEastAsia" w:hint="eastAsia"/>
          <w:lang w:eastAsia="ko-KR"/>
        </w:rPr>
        <w:t>S</w:t>
      </w:r>
      <w:r>
        <w:rPr>
          <w:rFonts w:eastAsiaTheme="minorEastAsia"/>
          <w:lang w:eastAsia="ko-KR"/>
        </w:rPr>
        <w:t>uppose that a HARQ-ACK codebook is based on active SPS, and activating/release DCI can be received to change state of some of configured SPS. Following the current specification, the serving gNB does not know whether activating/release DCI is successfully decoded before its corresponding HARQ-ACK is received. This means that some SPS of being activated during the triggering DCI reception (for the codebook) and the PUCCH transmission may be regarded as unchanged yet.</w:t>
      </w:r>
    </w:p>
    <w:p w14:paraId="5D89D2B0" w14:textId="2EDAE1B1" w:rsidR="00B201E5" w:rsidRDefault="000D5138" w:rsidP="00756DD4">
      <w:pPr>
        <w:pStyle w:val="B1"/>
        <w:rPr>
          <w:rFonts w:eastAsiaTheme="minorEastAsia"/>
          <w:b/>
          <w:lang w:eastAsia="ko-KR"/>
        </w:rPr>
      </w:pPr>
      <w:bookmarkStart w:id="10" w:name="_Ref68247852"/>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602537">
        <w:rPr>
          <w:b/>
          <w:noProof/>
          <w:kern w:val="2"/>
          <w:szCs w:val="22"/>
          <w:lang w:eastAsia="ko-KR"/>
        </w:rPr>
        <w:t>3</w:t>
      </w:r>
      <w:r>
        <w:fldChar w:fldCharType="end"/>
      </w:r>
      <w:r>
        <w:t>:</w:t>
      </w:r>
      <w:r w:rsidR="00A946C1" w:rsidRPr="00740EC3">
        <w:rPr>
          <w:rFonts w:eastAsiaTheme="minorEastAsia"/>
          <w:b/>
          <w:lang w:eastAsia="ko-KR"/>
        </w:rPr>
        <w:t xml:space="preserve"> </w:t>
      </w:r>
      <w:r w:rsidR="00CD13C2" w:rsidRPr="00740EC3">
        <w:rPr>
          <w:rFonts w:eastAsiaTheme="minorEastAsia"/>
          <w:b/>
          <w:lang w:eastAsia="ko-KR"/>
        </w:rPr>
        <w:t xml:space="preserve">The size </w:t>
      </w:r>
      <w:r w:rsidR="00785C80" w:rsidRPr="00740EC3">
        <w:rPr>
          <w:rFonts w:eastAsiaTheme="minorEastAsia"/>
          <w:b/>
          <w:lang w:eastAsia="ko-KR"/>
        </w:rPr>
        <w:t xml:space="preserve">of the enhanced Type-3 HARQ-ACK codebook </w:t>
      </w:r>
      <w:r w:rsidR="00CD13C2" w:rsidRPr="00740EC3">
        <w:rPr>
          <w:rFonts w:eastAsiaTheme="minorEastAsia"/>
          <w:b/>
          <w:lang w:eastAsia="ko-KR"/>
        </w:rPr>
        <w:t>can be determined by at least activation/release DC</w:t>
      </w:r>
      <w:r w:rsidR="00785C80" w:rsidRPr="00740EC3">
        <w:rPr>
          <w:rFonts w:eastAsiaTheme="minorEastAsia"/>
          <w:b/>
          <w:lang w:eastAsia="ko-KR"/>
        </w:rPr>
        <w:t>I.</w:t>
      </w:r>
      <w:bookmarkEnd w:id="10"/>
    </w:p>
    <w:p w14:paraId="55DA853D" w14:textId="224CBB9A" w:rsidR="000425F2" w:rsidRDefault="000425F2" w:rsidP="00756DD4">
      <w:pPr>
        <w:pStyle w:val="B1"/>
        <w:rPr>
          <w:kern w:val="2"/>
          <w:szCs w:val="22"/>
          <w:lang w:eastAsia="ko-KR"/>
        </w:rPr>
      </w:pPr>
      <w:r>
        <w:rPr>
          <w:kern w:val="2"/>
          <w:szCs w:val="22"/>
          <w:lang w:eastAsia="ko-KR"/>
        </w:rPr>
        <w:t>S</w:t>
      </w:r>
      <w:r w:rsidRPr="00A90B9F">
        <w:rPr>
          <w:kern w:val="2"/>
          <w:szCs w:val="22"/>
          <w:lang w:eastAsia="ko-KR"/>
        </w:rPr>
        <w:t xml:space="preserve">imilarly, </w:t>
      </w:r>
      <w:r>
        <w:rPr>
          <w:kern w:val="2"/>
          <w:szCs w:val="22"/>
          <w:lang w:eastAsia="ko-KR"/>
        </w:rPr>
        <w:t xml:space="preserve">the size of codebook can be reduced when only activated serving cell is considered. In this case, all configured HARQ processes </w:t>
      </w:r>
      <w:r w:rsidR="00247FD1">
        <w:rPr>
          <w:kern w:val="2"/>
          <w:szCs w:val="22"/>
          <w:lang w:eastAsia="ko-KR"/>
        </w:rPr>
        <w:t xml:space="preserve">(or some HARQ processes regarding SPS) </w:t>
      </w:r>
      <w:r>
        <w:rPr>
          <w:kern w:val="2"/>
          <w:szCs w:val="22"/>
          <w:lang w:eastAsia="ko-KR"/>
        </w:rPr>
        <w:t xml:space="preserve">in activated serving cells can be </w:t>
      </w:r>
      <w:r w:rsidR="0066072F">
        <w:rPr>
          <w:kern w:val="2"/>
          <w:szCs w:val="22"/>
          <w:lang w:eastAsia="ko-KR"/>
        </w:rPr>
        <w:t>considered, and deactivated cells</w:t>
      </w:r>
      <w:r w:rsidR="00247FD1">
        <w:rPr>
          <w:kern w:val="2"/>
          <w:szCs w:val="22"/>
          <w:lang w:eastAsia="ko-KR"/>
        </w:rPr>
        <w:t xml:space="preserve"> are not considered.</w:t>
      </w:r>
    </w:p>
    <w:p w14:paraId="740216B1" w14:textId="69C1C352" w:rsidR="00A22ECF" w:rsidRDefault="00A22ECF" w:rsidP="00756DD4">
      <w:pPr>
        <w:pStyle w:val="B1"/>
        <w:rPr>
          <w:rFonts w:eastAsiaTheme="minorEastAsia"/>
          <w:lang w:eastAsia="ko-KR"/>
        </w:rPr>
      </w:pPr>
      <w:r>
        <w:rPr>
          <w:rFonts w:eastAsiaTheme="minorEastAsia"/>
          <w:lang w:eastAsia="ko-KR"/>
        </w:rPr>
        <w:t xml:space="preserve">Suppose that a HARQ-ACK codebook is based on activated serving cells, the </w:t>
      </w:r>
      <w:r w:rsidR="008C7DA8">
        <w:rPr>
          <w:rFonts w:eastAsiaTheme="minorEastAsia"/>
          <w:lang w:eastAsia="ko-KR"/>
        </w:rPr>
        <w:t xml:space="preserve">MAC CE can be received to change states of some of configured serving cells. Following the current specification, the timing (in slot) is defined to begin/stop a certain set of operations, and CSI reporting and timer related operations are dealt separately. </w:t>
      </w:r>
      <w:r w:rsidR="002A371C">
        <w:rPr>
          <w:rFonts w:eastAsiaTheme="minorEastAsia"/>
          <w:lang w:eastAsia="ko-KR"/>
        </w:rPr>
        <w:t xml:space="preserve">However, the exact slot of activation/deactivation is not precisely defined. We think the problem can occur at deactivating behavior where </w:t>
      </w:r>
      <w:r w:rsidR="00185107">
        <w:rPr>
          <w:rFonts w:eastAsiaTheme="minorEastAsia"/>
          <w:lang w:eastAsia="ko-KR"/>
        </w:rPr>
        <w:t>the HARQ buffer is flushed. When the HARQ buffer is flushed, the HARQ-ACK can be flushed as well and the Type-3 HARQ-ACK codebook can carry meaningless information for the serving cell.</w:t>
      </w:r>
    </w:p>
    <w:p w14:paraId="564694CE" w14:textId="2777CDEC" w:rsidR="001265E3" w:rsidRDefault="001265E3" w:rsidP="001265E3">
      <w:pPr>
        <w:pStyle w:val="B1"/>
        <w:rPr>
          <w:rFonts w:eastAsiaTheme="minorEastAsia"/>
          <w:b/>
          <w:lang w:eastAsia="ko-KR"/>
        </w:rPr>
      </w:pPr>
      <w:bookmarkStart w:id="11" w:name="_Ref71554438"/>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602537">
        <w:rPr>
          <w:b/>
          <w:noProof/>
          <w:kern w:val="2"/>
          <w:szCs w:val="22"/>
          <w:lang w:eastAsia="ko-KR"/>
        </w:rPr>
        <w:t>4</w:t>
      </w:r>
      <w:r>
        <w:fldChar w:fldCharType="end"/>
      </w:r>
      <w:r>
        <w:t>:</w:t>
      </w:r>
      <w:r w:rsidRPr="00740EC3">
        <w:rPr>
          <w:rFonts w:eastAsiaTheme="minorEastAsia"/>
          <w:b/>
          <w:lang w:eastAsia="ko-KR"/>
        </w:rPr>
        <w:t xml:space="preserve"> The size of the enhanced Type-3 HARQ-ACK codebook can be determined by at least </w:t>
      </w:r>
      <w:r>
        <w:rPr>
          <w:rFonts w:eastAsiaTheme="minorEastAsia"/>
          <w:b/>
          <w:lang w:eastAsia="ko-KR"/>
        </w:rPr>
        <w:t>activated serving cells</w:t>
      </w:r>
      <w:r w:rsidRPr="00740EC3">
        <w:rPr>
          <w:rFonts w:eastAsiaTheme="minorEastAsia"/>
          <w:b/>
          <w:lang w:eastAsia="ko-KR"/>
        </w:rPr>
        <w:t>.</w:t>
      </w:r>
      <w:bookmarkEnd w:id="11"/>
    </w:p>
    <w:p w14:paraId="1AD460B0" w14:textId="790E3061" w:rsidR="00A62B70" w:rsidRPr="00A90B9F" w:rsidRDefault="00A62B70" w:rsidP="001265E3">
      <w:pPr>
        <w:pStyle w:val="B1"/>
        <w:rPr>
          <w:rFonts w:eastAsiaTheme="minorEastAsia"/>
          <w:b/>
          <w:u w:val="single"/>
          <w:lang w:eastAsia="ko-KR"/>
        </w:rPr>
      </w:pPr>
      <w:r w:rsidRPr="00A90B9F">
        <w:rPr>
          <w:b/>
          <w:kern w:val="2"/>
          <w:szCs w:val="22"/>
          <w:u w:val="single"/>
          <w:lang w:eastAsia="ko-KR"/>
        </w:rPr>
        <w:lastRenderedPageBreak/>
        <w:t>Processing time</w:t>
      </w:r>
    </w:p>
    <w:p w14:paraId="01FB2992" w14:textId="24F808AE" w:rsidR="00845DCB" w:rsidRDefault="00845DCB">
      <w:pPr>
        <w:pStyle w:val="B1"/>
        <w:rPr>
          <w:rFonts w:eastAsiaTheme="minorEastAsia"/>
          <w:lang w:eastAsia="ko-KR"/>
        </w:rPr>
      </w:pPr>
      <w:r>
        <w:rPr>
          <w:rFonts w:eastAsiaTheme="minorEastAsia"/>
          <w:lang w:eastAsia="ko-KR"/>
        </w:rPr>
        <w:t>Those alternatives are already captured as options in the feature lead summary. We see the benefits of reducing the size, but some concerns about ambiguity of the size may be raised. In some sense, even though its size is not dynamic, the size can vary depending on the outcome of dynamic signalling. This ambiguity time should be avoided to set the same size between the UE and the serving gNB.</w:t>
      </w:r>
      <w:r w:rsidR="00A43C21">
        <w:rPr>
          <w:rFonts w:eastAsiaTheme="minorEastAsia"/>
          <w:lang w:eastAsia="ko-KR"/>
        </w:rPr>
        <w:t xml:space="preserve"> In this perspective,</w:t>
      </w:r>
      <w:r>
        <w:rPr>
          <w:rFonts w:eastAsiaTheme="minorEastAsia"/>
          <w:lang w:eastAsia="ko-KR"/>
        </w:rPr>
        <w:t xml:space="preserve"> a reference time to derive the Type-3 HARQ-ACK codebook</w:t>
      </w:r>
      <w:r w:rsidR="00A43C21">
        <w:rPr>
          <w:rFonts w:eastAsiaTheme="minorEastAsia"/>
          <w:lang w:eastAsia="ko-KR"/>
        </w:rPr>
        <w:t xml:space="preserve"> needs to be introduced</w:t>
      </w:r>
      <w:r>
        <w:rPr>
          <w:rFonts w:eastAsiaTheme="minorEastAsia"/>
          <w:lang w:eastAsia="ko-KR"/>
        </w:rPr>
        <w:t>.</w:t>
      </w:r>
    </w:p>
    <w:p w14:paraId="35EC6059" w14:textId="3B91AED6" w:rsidR="001265E3" w:rsidRDefault="00441C4D" w:rsidP="001265E3">
      <w:pPr>
        <w:pStyle w:val="B1"/>
        <w:rPr>
          <w:rFonts w:eastAsiaTheme="minorEastAsia"/>
          <w:lang w:eastAsia="ko-KR"/>
        </w:rPr>
      </w:pPr>
      <w:r>
        <w:rPr>
          <w:rFonts w:eastAsiaTheme="minorEastAsia"/>
          <w:lang w:eastAsia="ko-KR"/>
        </w:rPr>
        <w:t>In our understanding, w</w:t>
      </w:r>
      <w:r w:rsidR="00A43C21">
        <w:rPr>
          <w:rFonts w:eastAsiaTheme="minorEastAsia"/>
          <w:lang w:eastAsia="ko-KR"/>
        </w:rPr>
        <w:t xml:space="preserve">ith </w:t>
      </w:r>
      <w:r>
        <w:rPr>
          <w:rFonts w:eastAsiaTheme="minorEastAsia"/>
          <w:lang w:eastAsia="ko-KR"/>
        </w:rPr>
        <w:t xml:space="preserve">a </w:t>
      </w:r>
      <w:r w:rsidR="00A43C21">
        <w:rPr>
          <w:rFonts w:eastAsiaTheme="minorEastAsia"/>
          <w:lang w:eastAsia="ko-KR"/>
        </w:rPr>
        <w:t xml:space="preserve">reference time, the </w:t>
      </w:r>
      <w:r>
        <w:rPr>
          <w:rFonts w:eastAsiaTheme="minorEastAsia"/>
          <w:lang w:eastAsia="ko-KR"/>
        </w:rPr>
        <w:t xml:space="preserve">most updated HARQ-ACK can be easily determined. </w:t>
      </w:r>
      <w:r w:rsidR="001265E3">
        <w:rPr>
          <w:rFonts w:eastAsiaTheme="minorEastAsia" w:hint="eastAsia"/>
          <w:lang w:eastAsia="ko-KR"/>
        </w:rPr>
        <w:t>W</w:t>
      </w:r>
      <w:r w:rsidR="001265E3">
        <w:rPr>
          <w:rFonts w:eastAsiaTheme="minorEastAsia"/>
          <w:lang w:eastAsia="ko-KR"/>
        </w:rPr>
        <w:t xml:space="preserve">e can think of a state changes of a serving cell or an SPS between the triggering DCI format and the PUCCH (or PUSCH). In addition, a very short period of an SPS implies that multiple PDSCH instances may be received between the triggering DCI format and the PUCCH (or PUSCH). </w:t>
      </w:r>
    </w:p>
    <w:p w14:paraId="48390335" w14:textId="192C99CA" w:rsidR="001265E3" w:rsidRPr="00AB7C6C" w:rsidRDefault="001265E3" w:rsidP="001265E3">
      <w:pPr>
        <w:pStyle w:val="B1"/>
        <w:rPr>
          <w:rFonts w:eastAsiaTheme="minorEastAsia"/>
          <w:lang w:eastAsia="ko-KR"/>
        </w:rPr>
      </w:pPr>
      <w:r>
        <w:rPr>
          <w:rFonts w:eastAsiaTheme="minorEastAsia"/>
          <w:lang w:eastAsia="ko-KR"/>
        </w:rPr>
        <w:t xml:space="preserve">In this case, the reference slot should determine which (sub) slot to be used to derive the type-3 HARQ-ACK codebook. Otherwise, we think there </w:t>
      </w:r>
      <w:r w:rsidR="00F52B01">
        <w:rPr>
          <w:rFonts w:eastAsiaTheme="minorEastAsia"/>
          <w:lang w:eastAsia="ko-KR"/>
        </w:rPr>
        <w:t xml:space="preserve">are </w:t>
      </w:r>
    </w:p>
    <w:p w14:paraId="0E448954" w14:textId="2AEE488E" w:rsidR="00A22ECF" w:rsidRDefault="00441C4D" w:rsidP="00756DD4">
      <w:pPr>
        <w:pStyle w:val="B1"/>
        <w:rPr>
          <w:rFonts w:eastAsiaTheme="minorEastAsia"/>
          <w:b/>
          <w:lang w:eastAsia="ko-KR"/>
        </w:rPr>
      </w:pPr>
      <w:bookmarkStart w:id="12" w:name="_Ref71554442"/>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602537">
        <w:rPr>
          <w:b/>
          <w:noProof/>
          <w:kern w:val="2"/>
          <w:szCs w:val="22"/>
          <w:lang w:eastAsia="ko-KR"/>
        </w:rPr>
        <w:t>5</w:t>
      </w:r>
      <w:r>
        <w:fldChar w:fldCharType="end"/>
      </w:r>
      <w:r>
        <w:t>:</w:t>
      </w:r>
      <w:r w:rsidR="00A22ECF">
        <w:rPr>
          <w:rFonts w:eastAsiaTheme="minorEastAsia"/>
          <w:b/>
          <w:lang w:eastAsia="ko-KR"/>
        </w:rPr>
        <w:t xml:space="preserve"> The reference time to derive HARQ-ACK codebook is introduced in terms of a (sub) slot, where the HARQ-ACK of relevant HARQ processes are involved.</w:t>
      </w:r>
      <w:bookmarkEnd w:id="12"/>
    </w:p>
    <w:p w14:paraId="00F794B6" w14:textId="7F16669C" w:rsidR="000D2856" w:rsidRPr="00A90B9F" w:rsidRDefault="00BE2C43" w:rsidP="00756DD4">
      <w:pPr>
        <w:pStyle w:val="B1"/>
        <w:rPr>
          <w:rFonts w:eastAsiaTheme="minorEastAsia"/>
          <w:b/>
          <w:u w:val="single"/>
          <w:lang w:eastAsia="ko-KR"/>
        </w:rPr>
      </w:pPr>
      <w:r w:rsidRPr="00A90B9F">
        <w:rPr>
          <w:rFonts w:eastAsiaTheme="minorEastAsia"/>
          <w:b/>
          <w:u w:val="single"/>
          <w:lang w:eastAsia="ko-KR"/>
        </w:rPr>
        <w:t>Number of triggering state</w:t>
      </w:r>
      <w:r w:rsidR="005D4B4E">
        <w:rPr>
          <w:rFonts w:eastAsiaTheme="minorEastAsia"/>
          <w:b/>
          <w:u w:val="single"/>
          <w:lang w:eastAsia="ko-KR"/>
        </w:rPr>
        <w:t>s</w:t>
      </w:r>
      <w:r>
        <w:rPr>
          <w:rFonts w:eastAsiaTheme="minorEastAsia"/>
          <w:b/>
          <w:u w:val="single"/>
          <w:lang w:eastAsia="ko-KR"/>
        </w:rPr>
        <w:t>:</w:t>
      </w:r>
    </w:p>
    <w:p w14:paraId="32952D3D" w14:textId="04B5411C" w:rsidR="008417BC" w:rsidRDefault="00E130E7" w:rsidP="00756DD4">
      <w:pPr>
        <w:pStyle w:val="B1"/>
        <w:rPr>
          <w:rFonts w:eastAsiaTheme="minorEastAsia"/>
          <w:lang w:eastAsia="ko-KR"/>
        </w:rPr>
      </w:pPr>
      <w:r w:rsidRPr="00A90B9F">
        <w:rPr>
          <w:rFonts w:eastAsiaTheme="minorEastAsia"/>
          <w:lang w:eastAsia="ko-KR"/>
        </w:rPr>
        <w:t>There are</w:t>
      </w:r>
      <w:r>
        <w:rPr>
          <w:rFonts w:eastAsiaTheme="minorEastAsia"/>
          <w:lang w:eastAsia="ko-KR"/>
        </w:rPr>
        <w:t xml:space="preserve"> many supporting companies for M&gt;1 codebooks, and one of HARQ-ACK codebooks is triggered.</w:t>
      </w:r>
      <w:r w:rsidR="00D8173B">
        <w:rPr>
          <w:rFonts w:eastAsiaTheme="minorEastAsia"/>
          <w:lang w:eastAsia="ko-KR"/>
        </w:rPr>
        <w:t xml:space="preserve"> The proponent companies may support the general enhancement for the type-3 HARQ-ACK codebook, however, we think the motivation of this sub</w:t>
      </w:r>
      <w:r w:rsidR="000E2421">
        <w:rPr>
          <w:rFonts w:eastAsiaTheme="minorEastAsia"/>
          <w:lang w:eastAsia="ko-KR"/>
        </w:rPr>
        <w:t>-</w:t>
      </w:r>
      <w:r w:rsidR="00D8173B">
        <w:rPr>
          <w:rFonts w:eastAsiaTheme="minorEastAsia"/>
          <w:lang w:eastAsia="ko-KR"/>
        </w:rPr>
        <w:t>agenda came from the SPS HARQ-ACK dropping in the TDD. If the RAN1 introduces multiple triggering states, then this feature can be applied to various scenarios. We prefer the scope of this discussion to keep the original intention. But</w:t>
      </w:r>
      <w:r w:rsidR="008417BC">
        <w:rPr>
          <w:rFonts w:eastAsiaTheme="minorEastAsia"/>
          <w:lang w:eastAsia="ko-KR"/>
        </w:rPr>
        <w:t xml:space="preserve"> if</w:t>
      </w:r>
      <w:r w:rsidR="00D8173B">
        <w:rPr>
          <w:rFonts w:eastAsiaTheme="minorEastAsia"/>
          <w:lang w:eastAsia="ko-KR"/>
        </w:rPr>
        <w:t xml:space="preserve"> still many companies can believe the more flexibility</w:t>
      </w:r>
      <w:r w:rsidR="008417BC">
        <w:rPr>
          <w:rFonts w:eastAsiaTheme="minorEastAsia"/>
          <w:lang w:eastAsia="ko-KR"/>
        </w:rPr>
        <w:t>, we can accept to enhance for the general purpose.</w:t>
      </w:r>
    </w:p>
    <w:p w14:paraId="48D72125" w14:textId="39A81DC0" w:rsidR="000D2856" w:rsidRDefault="008417BC" w:rsidP="00756DD4">
      <w:pPr>
        <w:pStyle w:val="B1"/>
        <w:rPr>
          <w:rFonts w:eastAsiaTheme="minorEastAsia"/>
          <w:lang w:eastAsia="ko-KR"/>
        </w:rPr>
      </w:pPr>
      <w:r>
        <w:rPr>
          <w:rFonts w:eastAsiaTheme="minorEastAsia"/>
          <w:lang w:eastAsia="ko-KR"/>
        </w:rPr>
        <w:t>If M=</w:t>
      </w:r>
      <w:r w:rsidR="0037360F">
        <w:rPr>
          <w:rFonts w:eastAsiaTheme="minorEastAsia"/>
          <w:lang w:eastAsia="ko-KR"/>
        </w:rPr>
        <w:t>2</w:t>
      </w:r>
      <w:r>
        <w:rPr>
          <w:rFonts w:eastAsiaTheme="minorEastAsia"/>
          <w:lang w:eastAsia="ko-KR"/>
        </w:rPr>
        <w:t xml:space="preserve"> type-3 HARQ-ACK codebook is specified, then </w:t>
      </w:r>
      <w:r w:rsidR="00705374">
        <w:rPr>
          <w:rFonts w:eastAsiaTheme="minorEastAsia"/>
          <w:lang w:eastAsia="ko-KR"/>
        </w:rPr>
        <w:t xml:space="preserve">we think the distinct RNTI can be used. For instance, C-RNTI based triggering can imply the Rel-16 type-3 HARQ-ACK codebook, whereas CS-RNTI based triggering can imply the Rel-17 enhanced type-3 HARQ-ACK codebook. </w:t>
      </w:r>
      <w:r w:rsidR="003325FF">
        <w:rPr>
          <w:rFonts w:eastAsiaTheme="minorEastAsia"/>
          <w:lang w:eastAsia="ko-KR"/>
        </w:rPr>
        <w:t>This is motivated from the retransmitting the dropped SPS HARQ-ACK bits due to slot formats.</w:t>
      </w:r>
      <w:r w:rsidR="00E02BAD">
        <w:rPr>
          <w:rFonts w:eastAsiaTheme="minorEastAsia"/>
          <w:lang w:eastAsia="ko-KR"/>
        </w:rPr>
        <w:t xml:space="preserve"> If CS-RNTI based DCI format is used for this purpose, then </w:t>
      </w:r>
      <w:r w:rsidR="00471B9F">
        <w:rPr>
          <w:rFonts w:eastAsiaTheme="minorEastAsia"/>
          <w:lang w:eastAsia="ko-KR"/>
        </w:rPr>
        <w:t>some reserved field is used to trigger the type-3 HARQ-ACK codebook.</w:t>
      </w:r>
    </w:p>
    <w:p w14:paraId="6860BA21" w14:textId="2357917F" w:rsidR="008417BC" w:rsidRDefault="003325FF" w:rsidP="00756DD4">
      <w:pPr>
        <w:pStyle w:val="B1"/>
        <w:rPr>
          <w:rFonts w:eastAsiaTheme="minorEastAsia"/>
          <w:lang w:eastAsia="ko-KR"/>
        </w:rPr>
      </w:pPr>
      <w:bookmarkStart w:id="13" w:name="_Ref7155444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602537">
        <w:rPr>
          <w:b/>
          <w:noProof/>
          <w:kern w:val="2"/>
          <w:szCs w:val="22"/>
          <w:lang w:eastAsia="ko-KR"/>
        </w:rPr>
        <w:t>6</w:t>
      </w:r>
      <w:r>
        <w:fldChar w:fldCharType="end"/>
      </w:r>
      <w:r>
        <w:t xml:space="preserve">: </w:t>
      </w:r>
      <w:r w:rsidRPr="00A90B9F">
        <w:rPr>
          <w:rFonts w:eastAsiaTheme="minorEastAsia"/>
          <w:b/>
          <w:lang w:eastAsia="ko-KR"/>
        </w:rPr>
        <w:t>If M</w:t>
      </w:r>
      <w:r w:rsidR="00A05FB9">
        <w:rPr>
          <w:rFonts w:eastAsiaTheme="minorEastAsia"/>
          <w:b/>
          <w:lang w:eastAsia="ko-KR"/>
        </w:rPr>
        <w:t>=2</w:t>
      </w:r>
      <w:r w:rsidRPr="00A90B9F">
        <w:rPr>
          <w:rFonts w:eastAsiaTheme="minorEastAsia"/>
          <w:b/>
          <w:lang w:eastAsia="ko-KR"/>
        </w:rPr>
        <w:t xml:space="preserve"> type-3 HARQ-ACK codebook</w:t>
      </w:r>
      <w:r w:rsidR="00A05FB9">
        <w:rPr>
          <w:rFonts w:eastAsiaTheme="minorEastAsia"/>
          <w:b/>
          <w:lang w:eastAsia="ko-KR"/>
        </w:rPr>
        <w:t>s</w:t>
      </w:r>
      <w:r w:rsidRPr="00A90B9F">
        <w:rPr>
          <w:rFonts w:eastAsiaTheme="minorEastAsia"/>
          <w:b/>
          <w:lang w:eastAsia="ko-KR"/>
        </w:rPr>
        <w:t xml:space="preserve"> </w:t>
      </w:r>
      <w:r w:rsidR="00A05FB9">
        <w:rPr>
          <w:rFonts w:eastAsiaTheme="minorEastAsia"/>
          <w:b/>
          <w:lang w:eastAsia="ko-KR"/>
        </w:rPr>
        <w:t>are</w:t>
      </w:r>
      <w:r w:rsidRPr="00A90B9F">
        <w:rPr>
          <w:rFonts w:eastAsiaTheme="minorEastAsia"/>
          <w:b/>
          <w:lang w:eastAsia="ko-KR"/>
        </w:rPr>
        <w:t xml:space="preserve"> </w:t>
      </w:r>
      <w:r w:rsidR="00A05FB9">
        <w:rPr>
          <w:rFonts w:eastAsiaTheme="minorEastAsia"/>
          <w:b/>
          <w:lang w:eastAsia="ko-KR"/>
        </w:rPr>
        <w:t>enabled</w:t>
      </w:r>
      <w:r w:rsidRPr="00A90B9F">
        <w:rPr>
          <w:rFonts w:eastAsiaTheme="minorEastAsia"/>
          <w:b/>
          <w:lang w:eastAsia="ko-KR"/>
        </w:rPr>
        <w:t>, then the distinct RNTI can be used to generate a legacy one or an enhancement one.</w:t>
      </w:r>
      <w:bookmarkEnd w:id="13"/>
    </w:p>
    <w:p w14:paraId="57B2144C" w14:textId="519D4469" w:rsidR="00281CDB" w:rsidRPr="00A90B9F" w:rsidRDefault="003325FF" w:rsidP="00A90B9F">
      <w:pPr>
        <w:pStyle w:val="B1"/>
        <w:rPr>
          <w:rFonts w:eastAsiaTheme="minorEastAsia"/>
          <w:lang w:eastAsia="ko-KR"/>
        </w:rPr>
      </w:pPr>
      <w:r>
        <w:rPr>
          <w:rFonts w:eastAsiaTheme="minorEastAsia" w:hint="eastAsia"/>
          <w:lang w:eastAsia="ko-KR"/>
        </w:rPr>
        <w:t>I</w:t>
      </w:r>
      <w:r>
        <w:rPr>
          <w:rFonts w:eastAsiaTheme="minorEastAsia"/>
          <w:lang w:eastAsia="ko-KR"/>
        </w:rPr>
        <w:t>f M&gt;</w:t>
      </w:r>
      <w:r w:rsidR="00E315C0">
        <w:rPr>
          <w:rFonts w:eastAsiaTheme="minorEastAsia"/>
          <w:lang w:eastAsia="ko-KR"/>
        </w:rPr>
        <w:t>2</w:t>
      </w:r>
      <w:r>
        <w:rPr>
          <w:rFonts w:eastAsiaTheme="minorEastAsia"/>
          <w:lang w:eastAsia="ko-KR"/>
        </w:rPr>
        <w:t xml:space="preserve"> type-3 HARQ-ACK codebook</w:t>
      </w:r>
      <w:r w:rsidR="009367CE">
        <w:rPr>
          <w:rFonts w:eastAsiaTheme="minorEastAsia"/>
          <w:lang w:eastAsia="ko-KR"/>
        </w:rPr>
        <w:t>s</w:t>
      </w:r>
      <w:r>
        <w:rPr>
          <w:rFonts w:eastAsiaTheme="minorEastAsia"/>
          <w:lang w:eastAsia="ko-KR"/>
        </w:rPr>
        <w:t xml:space="preserve"> </w:t>
      </w:r>
      <w:r w:rsidR="009367CE">
        <w:rPr>
          <w:rFonts w:eastAsiaTheme="minorEastAsia"/>
          <w:lang w:eastAsia="ko-KR"/>
        </w:rPr>
        <w:t>are</w:t>
      </w:r>
      <w:r>
        <w:rPr>
          <w:rFonts w:eastAsiaTheme="minorEastAsia"/>
          <w:lang w:eastAsia="ko-KR"/>
        </w:rPr>
        <w:t xml:space="preserve"> specified, the above idea does not apply. The </w:t>
      </w:r>
      <w:r w:rsidR="00471B9F">
        <w:rPr>
          <w:rFonts w:eastAsiaTheme="minorEastAsia"/>
          <w:lang w:eastAsia="ko-KR"/>
        </w:rPr>
        <w:t xml:space="preserve">triggering </w:t>
      </w:r>
      <w:r>
        <w:rPr>
          <w:rFonts w:eastAsiaTheme="minorEastAsia"/>
          <w:lang w:eastAsia="ko-KR"/>
        </w:rPr>
        <w:t>field size should be increased to indicate an index, and this index points to a particular codebook</w:t>
      </w:r>
      <w:r w:rsidR="005D4B4E">
        <w:rPr>
          <w:rFonts w:eastAsiaTheme="minorEastAsia"/>
          <w:lang w:eastAsia="ko-KR"/>
        </w:rPr>
        <w:t xml:space="preserve"> based on the corresponding RRC configuration</w:t>
      </w:r>
      <w:r w:rsidR="00F52B01">
        <w:rPr>
          <w:rFonts w:eastAsiaTheme="minorEastAsia"/>
          <w:lang w:eastAsia="ko-KR"/>
        </w:rPr>
        <w:t xml:space="preserve">. In this case, we can </w:t>
      </w:r>
      <w:r w:rsidR="00471B9F">
        <w:rPr>
          <w:rFonts w:eastAsiaTheme="minorEastAsia"/>
          <w:lang w:eastAsia="ko-KR"/>
        </w:rPr>
        <w:t>rely on the C-RNTI based DCI format</w:t>
      </w:r>
      <w:r w:rsidR="00AD4AE2">
        <w:rPr>
          <w:rFonts w:eastAsiaTheme="minorEastAsia"/>
          <w:lang w:eastAsia="ko-KR"/>
        </w:rPr>
        <w:t xml:space="preserve"> only</w:t>
      </w:r>
      <w:r w:rsidR="005D4B4E">
        <w:rPr>
          <w:rFonts w:eastAsiaTheme="minorEastAsia"/>
          <w:lang w:eastAsia="ko-KR"/>
        </w:rPr>
        <w:t>.</w:t>
      </w:r>
    </w:p>
    <w:p w14:paraId="5C8D1234" w14:textId="62277E5D" w:rsidR="0089074E" w:rsidRDefault="000565F3" w:rsidP="002E332B">
      <w:pPr>
        <w:pStyle w:val="1"/>
        <w:numPr>
          <w:ilvl w:val="0"/>
          <w:numId w:val="1"/>
        </w:numPr>
        <w:rPr>
          <w:lang w:eastAsia="ko-KR"/>
        </w:rPr>
      </w:pPr>
      <w:r>
        <w:rPr>
          <w:lang w:eastAsia="ko-KR"/>
        </w:rPr>
        <w:t>Conclusion</w:t>
      </w:r>
    </w:p>
    <w:p w14:paraId="2027A774" w14:textId="0B8DBB0C" w:rsidR="00756DD4" w:rsidRDefault="00756DD4" w:rsidP="00756DD4">
      <w:pPr>
        <w:pStyle w:val="B1"/>
        <w:rPr>
          <w:lang w:eastAsia="ko-KR"/>
        </w:rPr>
      </w:pPr>
      <w:r>
        <w:rPr>
          <w:rFonts w:hint="eastAsia"/>
          <w:lang w:eastAsia="ko-KR"/>
        </w:rPr>
        <w:t>I</w:t>
      </w:r>
      <w:r>
        <w:rPr>
          <w:lang w:eastAsia="ko-KR"/>
        </w:rPr>
        <w:t>n this contribution, we have following proposals.</w:t>
      </w:r>
    </w:p>
    <w:p w14:paraId="3C6F00FF" w14:textId="76FBF94D" w:rsidR="00AE5C12" w:rsidRDefault="00AE5C12" w:rsidP="00756DD4">
      <w:pPr>
        <w:pStyle w:val="B1"/>
        <w:rPr>
          <w:lang w:eastAsia="ko-KR"/>
        </w:rPr>
      </w:pPr>
      <w:r>
        <w:rPr>
          <w:lang w:eastAsia="ko-KR"/>
        </w:rPr>
        <w:t xml:space="preserve">Regarding PUCCH carrier switching, </w:t>
      </w:r>
    </w:p>
    <w:p w14:paraId="42457F45" w14:textId="7895D9A4" w:rsidR="00AE5C12" w:rsidRDefault="00AE5C12" w:rsidP="00756DD4">
      <w:pPr>
        <w:pStyle w:val="B1"/>
        <w:rPr>
          <w:lang w:eastAsia="ko-KR"/>
        </w:rPr>
      </w:pPr>
      <w:r>
        <w:rPr>
          <w:lang w:eastAsia="ko-KR"/>
        </w:rPr>
        <w:fldChar w:fldCharType="begin"/>
      </w:r>
      <w:r>
        <w:rPr>
          <w:lang w:eastAsia="ko-KR"/>
        </w:rPr>
        <w:instrText xml:space="preserve"> REF _Ref71626125 \h </w:instrText>
      </w:r>
      <w:r>
        <w:rPr>
          <w:lang w:eastAsia="ko-KR"/>
        </w:rPr>
      </w:r>
      <w:r>
        <w:rPr>
          <w:lang w:eastAsia="ko-KR"/>
        </w:rPr>
        <w:fldChar w:fldCharType="separate"/>
      </w:r>
      <w:r w:rsidR="00602537">
        <w:rPr>
          <w:b/>
          <w:kern w:val="2"/>
          <w:szCs w:val="22"/>
          <w:lang w:eastAsia="ko-KR"/>
        </w:rPr>
        <w:t xml:space="preserve">Proposal </w:t>
      </w:r>
      <w:r w:rsidR="00602537">
        <w:rPr>
          <w:b/>
          <w:noProof/>
          <w:kern w:val="2"/>
          <w:szCs w:val="22"/>
          <w:lang w:eastAsia="ko-KR"/>
        </w:rPr>
        <w:t>1</w:t>
      </w:r>
      <w:r w:rsidR="00602537">
        <w:t>:</w:t>
      </w:r>
      <w:r w:rsidR="00602537">
        <w:rPr>
          <w:lang w:eastAsia="ko-KR"/>
        </w:rPr>
        <w:t xml:space="preserve"> </w:t>
      </w:r>
      <w:r w:rsidR="00602537" w:rsidRPr="00F65A69">
        <w:rPr>
          <w:b/>
          <w:lang w:eastAsia="ko-KR"/>
        </w:rPr>
        <w:t>If PUCCH carrier switching is supported, then the RRC configured approach is adopted, and further consider dynamic switching is discussed.</w:t>
      </w:r>
      <w:r>
        <w:rPr>
          <w:lang w:eastAsia="ko-KR"/>
        </w:rPr>
        <w:fldChar w:fldCharType="end"/>
      </w:r>
    </w:p>
    <w:p w14:paraId="3CADE318" w14:textId="42053B01" w:rsidR="00AE5C12" w:rsidRDefault="00AE5C12"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_Ref71626133 \h</w:instrText>
      </w:r>
      <w:r>
        <w:rPr>
          <w:lang w:eastAsia="ko-KR"/>
        </w:rPr>
        <w:instrText xml:space="preserve"> </w:instrText>
      </w:r>
      <w:r>
        <w:rPr>
          <w:lang w:eastAsia="ko-KR"/>
        </w:rPr>
      </w:r>
      <w:r>
        <w:rPr>
          <w:lang w:eastAsia="ko-KR"/>
        </w:rPr>
        <w:fldChar w:fldCharType="separate"/>
      </w:r>
      <w:r w:rsidR="00602537" w:rsidRPr="00A90B9F">
        <w:rPr>
          <w:b/>
          <w:kern w:val="2"/>
          <w:szCs w:val="22"/>
          <w:lang w:eastAsia="ko-KR"/>
        </w:rPr>
        <w:t xml:space="preserve">Proposal </w:t>
      </w:r>
      <w:r w:rsidR="00602537">
        <w:rPr>
          <w:b/>
          <w:noProof/>
          <w:kern w:val="2"/>
          <w:szCs w:val="22"/>
          <w:lang w:eastAsia="ko-KR"/>
        </w:rPr>
        <w:t>2</w:t>
      </w:r>
      <w:r w:rsidR="00602537" w:rsidRPr="00A90B9F">
        <w:rPr>
          <w:b/>
        </w:rPr>
        <w:t xml:space="preserve">: Any UCI type can support the </w:t>
      </w:r>
      <w:r w:rsidR="00602537" w:rsidRPr="00A90B9F">
        <w:rPr>
          <w:rFonts w:hint="eastAsia"/>
          <w:b/>
          <w:lang w:eastAsia="ko-KR"/>
        </w:rPr>
        <w:t>P</w:t>
      </w:r>
      <w:r w:rsidR="00602537" w:rsidRPr="00A90B9F">
        <w:rPr>
          <w:b/>
          <w:lang w:eastAsia="ko-KR"/>
        </w:rPr>
        <w:t>UCCH carrier switching if supported.</w:t>
      </w:r>
      <w:r>
        <w:rPr>
          <w:lang w:eastAsia="ko-KR"/>
        </w:rPr>
        <w:fldChar w:fldCharType="end"/>
      </w:r>
    </w:p>
    <w:p w14:paraId="039E7E65" w14:textId="540AED7C" w:rsidR="00AE5C12" w:rsidRDefault="00AE5C12" w:rsidP="00756DD4">
      <w:pPr>
        <w:pStyle w:val="B1"/>
        <w:rPr>
          <w:lang w:eastAsia="ko-KR"/>
        </w:rPr>
      </w:pPr>
      <w:r>
        <w:rPr>
          <w:rFonts w:hint="eastAsia"/>
          <w:lang w:eastAsia="ko-KR"/>
        </w:rPr>
        <w:t>R</w:t>
      </w:r>
      <w:r>
        <w:rPr>
          <w:lang w:eastAsia="ko-KR"/>
        </w:rPr>
        <w:t xml:space="preserve">egarding Type-3 HARQ-ACK codebook, </w:t>
      </w:r>
    </w:p>
    <w:p w14:paraId="4070A4EC" w14:textId="4823445A" w:rsidR="00832E2A" w:rsidRDefault="00EA6F9B" w:rsidP="00756DD4">
      <w:pPr>
        <w:pStyle w:val="B1"/>
        <w:rPr>
          <w:lang w:eastAsia="ko-KR"/>
        </w:rPr>
      </w:pPr>
      <w:r>
        <w:rPr>
          <w:lang w:eastAsia="ko-KR"/>
        </w:rPr>
        <w:fldChar w:fldCharType="begin"/>
      </w:r>
      <w:r>
        <w:rPr>
          <w:lang w:eastAsia="ko-KR"/>
        </w:rPr>
        <w:instrText xml:space="preserve"> REF _Ref68247852 \h </w:instrText>
      </w:r>
      <w:r>
        <w:rPr>
          <w:lang w:eastAsia="ko-KR"/>
        </w:rPr>
      </w:r>
      <w:r>
        <w:rPr>
          <w:lang w:eastAsia="ko-KR"/>
        </w:rPr>
        <w:fldChar w:fldCharType="separate"/>
      </w:r>
      <w:r w:rsidR="00602537">
        <w:rPr>
          <w:b/>
          <w:kern w:val="2"/>
          <w:szCs w:val="22"/>
          <w:lang w:eastAsia="ko-KR"/>
        </w:rPr>
        <w:t xml:space="preserve">Proposal </w:t>
      </w:r>
      <w:r w:rsidR="00602537">
        <w:rPr>
          <w:b/>
          <w:noProof/>
          <w:kern w:val="2"/>
          <w:szCs w:val="22"/>
          <w:lang w:eastAsia="ko-KR"/>
        </w:rPr>
        <w:t>3</w:t>
      </w:r>
      <w:r w:rsidR="00602537">
        <w:t>:</w:t>
      </w:r>
      <w:r w:rsidR="00602537" w:rsidRPr="00740EC3">
        <w:rPr>
          <w:rFonts w:eastAsiaTheme="minorEastAsia"/>
          <w:b/>
          <w:lang w:eastAsia="ko-KR"/>
        </w:rPr>
        <w:t xml:space="preserve"> The size of the enhanced Type-3 HARQ-ACK codebook can be determined by at least activation/release DCI.</w:t>
      </w:r>
      <w:r>
        <w:rPr>
          <w:lang w:eastAsia="ko-KR"/>
        </w:rPr>
        <w:fldChar w:fldCharType="end"/>
      </w:r>
    </w:p>
    <w:p w14:paraId="61E8FEFA" w14:textId="2682FBBD" w:rsidR="00740EC3" w:rsidRDefault="002B1466" w:rsidP="00756DD4">
      <w:pPr>
        <w:pStyle w:val="B1"/>
        <w:rPr>
          <w:lang w:eastAsia="ko-KR"/>
        </w:rPr>
      </w:pPr>
      <w:r>
        <w:rPr>
          <w:lang w:eastAsia="ko-KR"/>
        </w:rPr>
        <w:fldChar w:fldCharType="begin"/>
      </w:r>
      <w:r>
        <w:rPr>
          <w:lang w:eastAsia="ko-KR"/>
        </w:rPr>
        <w:instrText xml:space="preserve"> REF _Ref71554438 \h </w:instrText>
      </w:r>
      <w:r>
        <w:rPr>
          <w:lang w:eastAsia="ko-KR"/>
        </w:rPr>
      </w:r>
      <w:r>
        <w:rPr>
          <w:lang w:eastAsia="ko-KR"/>
        </w:rPr>
        <w:fldChar w:fldCharType="separate"/>
      </w:r>
      <w:r w:rsidR="00602537">
        <w:rPr>
          <w:b/>
          <w:kern w:val="2"/>
          <w:szCs w:val="22"/>
          <w:lang w:eastAsia="ko-KR"/>
        </w:rPr>
        <w:t xml:space="preserve">Proposal </w:t>
      </w:r>
      <w:r w:rsidR="00602537">
        <w:rPr>
          <w:b/>
          <w:noProof/>
          <w:kern w:val="2"/>
          <w:szCs w:val="22"/>
          <w:lang w:eastAsia="ko-KR"/>
        </w:rPr>
        <w:t>4</w:t>
      </w:r>
      <w:r w:rsidR="00602537">
        <w:t>:</w:t>
      </w:r>
      <w:r w:rsidR="00602537" w:rsidRPr="00740EC3">
        <w:rPr>
          <w:rFonts w:eastAsiaTheme="minorEastAsia"/>
          <w:b/>
          <w:lang w:eastAsia="ko-KR"/>
        </w:rPr>
        <w:t xml:space="preserve"> The size of the enhanced Type-3 HARQ-ACK codebook can be determined by at least </w:t>
      </w:r>
      <w:r w:rsidR="00602537">
        <w:rPr>
          <w:rFonts w:eastAsiaTheme="minorEastAsia"/>
          <w:b/>
          <w:lang w:eastAsia="ko-KR"/>
        </w:rPr>
        <w:t>activated serving cells</w:t>
      </w:r>
      <w:r w:rsidR="00602537" w:rsidRPr="00740EC3">
        <w:rPr>
          <w:rFonts w:eastAsiaTheme="minorEastAsia"/>
          <w:b/>
          <w:lang w:eastAsia="ko-KR"/>
        </w:rPr>
        <w:t>.</w:t>
      </w:r>
      <w:r>
        <w:rPr>
          <w:lang w:eastAsia="ko-KR"/>
        </w:rPr>
        <w:fldChar w:fldCharType="end"/>
      </w:r>
      <w:r w:rsidR="00602537" w:rsidDel="00602537">
        <w:rPr>
          <w:lang w:eastAsia="ko-KR"/>
        </w:rPr>
        <w:t xml:space="preserve"> </w:t>
      </w:r>
      <w:bookmarkStart w:id="14" w:name="_GoBack"/>
      <w:bookmarkEnd w:id="14"/>
    </w:p>
    <w:p w14:paraId="10630CDD" w14:textId="30AD43E5" w:rsidR="00740EC3" w:rsidRDefault="002B1466" w:rsidP="00756DD4">
      <w:pPr>
        <w:pStyle w:val="B1"/>
        <w:rPr>
          <w:lang w:eastAsia="ko-KR"/>
        </w:rPr>
      </w:pPr>
      <w:r>
        <w:rPr>
          <w:lang w:eastAsia="ko-KR"/>
        </w:rPr>
        <w:lastRenderedPageBreak/>
        <w:fldChar w:fldCharType="begin"/>
      </w:r>
      <w:r>
        <w:rPr>
          <w:lang w:eastAsia="ko-KR"/>
        </w:rPr>
        <w:instrText xml:space="preserve"> REF _Ref71554442 \h </w:instrText>
      </w:r>
      <w:r>
        <w:rPr>
          <w:lang w:eastAsia="ko-KR"/>
        </w:rPr>
      </w:r>
      <w:r>
        <w:rPr>
          <w:lang w:eastAsia="ko-KR"/>
        </w:rPr>
        <w:fldChar w:fldCharType="separate"/>
      </w:r>
      <w:r w:rsidR="00602537">
        <w:rPr>
          <w:b/>
          <w:kern w:val="2"/>
          <w:szCs w:val="22"/>
          <w:lang w:eastAsia="ko-KR"/>
        </w:rPr>
        <w:t xml:space="preserve">Proposal </w:t>
      </w:r>
      <w:r w:rsidR="00602537">
        <w:rPr>
          <w:b/>
          <w:noProof/>
          <w:kern w:val="2"/>
          <w:szCs w:val="22"/>
          <w:lang w:eastAsia="ko-KR"/>
        </w:rPr>
        <w:t>5</w:t>
      </w:r>
      <w:r w:rsidR="00602537">
        <w:t>:</w:t>
      </w:r>
      <w:r w:rsidR="00602537">
        <w:rPr>
          <w:rFonts w:eastAsiaTheme="minorEastAsia"/>
          <w:b/>
          <w:lang w:eastAsia="ko-KR"/>
        </w:rPr>
        <w:t xml:space="preserve"> The reference time to derive HARQ-ACK codebook is introduced in terms of a (sub) slot, where the HARQ-ACK of relevant HARQ processes are involved.</w:t>
      </w:r>
      <w:r>
        <w:rPr>
          <w:lang w:eastAsia="ko-KR"/>
        </w:rPr>
        <w:fldChar w:fldCharType="end"/>
      </w:r>
      <w:r w:rsidR="00602537" w:rsidDel="00602537">
        <w:rPr>
          <w:lang w:eastAsia="ko-KR"/>
        </w:rPr>
        <w:t xml:space="preserve"> </w:t>
      </w:r>
    </w:p>
    <w:p w14:paraId="71C79F47" w14:textId="0587B978" w:rsidR="00D53586" w:rsidRPr="00756DD4" w:rsidRDefault="002B1466">
      <w:pPr>
        <w:pStyle w:val="B1"/>
        <w:rPr>
          <w:lang w:eastAsia="ko-KR"/>
        </w:rPr>
      </w:pPr>
      <w:r>
        <w:rPr>
          <w:lang w:eastAsia="ko-KR"/>
        </w:rPr>
        <w:fldChar w:fldCharType="begin"/>
      </w:r>
      <w:r>
        <w:rPr>
          <w:lang w:eastAsia="ko-KR"/>
        </w:rPr>
        <w:instrText xml:space="preserve"> REF _Ref71554447 \h </w:instrText>
      </w:r>
      <w:r>
        <w:rPr>
          <w:lang w:eastAsia="ko-KR"/>
        </w:rPr>
      </w:r>
      <w:r>
        <w:rPr>
          <w:lang w:eastAsia="ko-KR"/>
        </w:rPr>
        <w:fldChar w:fldCharType="separate"/>
      </w:r>
      <w:r w:rsidR="00602537">
        <w:rPr>
          <w:b/>
          <w:kern w:val="2"/>
          <w:szCs w:val="22"/>
          <w:lang w:eastAsia="ko-KR"/>
        </w:rPr>
        <w:t xml:space="preserve">Proposal </w:t>
      </w:r>
      <w:r w:rsidR="00602537">
        <w:rPr>
          <w:b/>
          <w:noProof/>
          <w:kern w:val="2"/>
          <w:szCs w:val="22"/>
          <w:lang w:eastAsia="ko-KR"/>
        </w:rPr>
        <w:t>6</w:t>
      </w:r>
      <w:r w:rsidR="00602537">
        <w:t xml:space="preserve">: </w:t>
      </w:r>
      <w:r w:rsidR="00602537" w:rsidRPr="00A90B9F">
        <w:rPr>
          <w:rFonts w:eastAsiaTheme="minorEastAsia"/>
          <w:b/>
          <w:lang w:eastAsia="ko-KR"/>
        </w:rPr>
        <w:t>If M</w:t>
      </w:r>
      <w:r w:rsidR="00602537">
        <w:rPr>
          <w:rFonts w:eastAsiaTheme="minorEastAsia"/>
          <w:b/>
          <w:lang w:eastAsia="ko-KR"/>
        </w:rPr>
        <w:t>=2</w:t>
      </w:r>
      <w:r w:rsidR="00602537" w:rsidRPr="00A90B9F">
        <w:rPr>
          <w:rFonts w:eastAsiaTheme="minorEastAsia"/>
          <w:b/>
          <w:lang w:eastAsia="ko-KR"/>
        </w:rPr>
        <w:t xml:space="preserve"> type-3 HARQ-ACK codebook</w:t>
      </w:r>
      <w:r w:rsidR="00602537">
        <w:rPr>
          <w:rFonts w:eastAsiaTheme="minorEastAsia"/>
          <w:b/>
          <w:lang w:eastAsia="ko-KR"/>
        </w:rPr>
        <w:t>s</w:t>
      </w:r>
      <w:r w:rsidR="00602537" w:rsidRPr="00A90B9F">
        <w:rPr>
          <w:rFonts w:eastAsiaTheme="minorEastAsia"/>
          <w:b/>
          <w:lang w:eastAsia="ko-KR"/>
        </w:rPr>
        <w:t xml:space="preserve"> </w:t>
      </w:r>
      <w:r w:rsidR="00602537">
        <w:rPr>
          <w:rFonts w:eastAsiaTheme="minorEastAsia"/>
          <w:b/>
          <w:lang w:eastAsia="ko-KR"/>
        </w:rPr>
        <w:t>are</w:t>
      </w:r>
      <w:r w:rsidR="00602537" w:rsidRPr="00A90B9F">
        <w:rPr>
          <w:rFonts w:eastAsiaTheme="minorEastAsia"/>
          <w:b/>
          <w:lang w:eastAsia="ko-KR"/>
        </w:rPr>
        <w:t xml:space="preserve"> </w:t>
      </w:r>
      <w:r w:rsidR="00602537">
        <w:rPr>
          <w:rFonts w:eastAsiaTheme="minorEastAsia"/>
          <w:b/>
          <w:lang w:eastAsia="ko-KR"/>
        </w:rPr>
        <w:t>enabled</w:t>
      </w:r>
      <w:r w:rsidR="00602537" w:rsidRPr="00A90B9F">
        <w:rPr>
          <w:rFonts w:eastAsiaTheme="minorEastAsia"/>
          <w:b/>
          <w:lang w:eastAsia="ko-KR"/>
        </w:rPr>
        <w:t>, then the distinct RNTI can be used to generate a legacy one or an enhancement one.</w:t>
      </w:r>
      <w:r>
        <w:rPr>
          <w:lang w:eastAsia="ko-KR"/>
        </w:rPr>
        <w:fldChar w:fldCharType="end"/>
      </w:r>
      <w:r w:rsidR="00602537" w:rsidDel="00602537">
        <w:rPr>
          <w:lang w:eastAsia="ko-KR"/>
        </w:rPr>
        <w:t xml:space="preserve"> </w:t>
      </w:r>
    </w:p>
    <w:sectPr w:rsidR="00D53586" w:rsidRPr="00756D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9429F" w14:textId="77777777" w:rsidR="00FF15EE" w:rsidRDefault="00FF15EE" w:rsidP="003E77F5">
      <w:r>
        <w:separator/>
      </w:r>
    </w:p>
  </w:endnote>
  <w:endnote w:type="continuationSeparator" w:id="0">
    <w:p w14:paraId="13DD8003" w14:textId="77777777" w:rsidR="00FF15EE" w:rsidRDefault="00FF15EE" w:rsidP="003E77F5">
      <w:r>
        <w:continuationSeparator/>
      </w:r>
    </w:p>
  </w:endnote>
  <w:endnote w:type="continuationNotice" w:id="1">
    <w:p w14:paraId="01A6897C" w14:textId="77777777" w:rsidR="00FF15EE" w:rsidRDefault="00FF1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F15EE" w:rsidRDefault="00FF15EE">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F15EE" w:rsidRDefault="00FF15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A6C3C" w14:textId="77777777" w:rsidR="00FF15EE" w:rsidRDefault="00FF15EE" w:rsidP="003E77F5">
      <w:r>
        <w:separator/>
      </w:r>
    </w:p>
  </w:footnote>
  <w:footnote w:type="continuationSeparator" w:id="0">
    <w:p w14:paraId="4F45C9A3" w14:textId="77777777" w:rsidR="00FF15EE" w:rsidRDefault="00FF15EE" w:rsidP="003E77F5">
      <w:r>
        <w:continuationSeparator/>
      </w:r>
    </w:p>
  </w:footnote>
  <w:footnote w:type="continuationNotice" w:id="1">
    <w:p w14:paraId="3AEBDFE7" w14:textId="77777777" w:rsidR="00FF15EE" w:rsidRDefault="00FF15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0"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3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9"/>
  </w:num>
  <w:num w:numId="4">
    <w:abstractNumId w:val="27"/>
  </w:num>
  <w:num w:numId="5">
    <w:abstractNumId w:val="25"/>
  </w:num>
  <w:num w:numId="6">
    <w:abstractNumId w:val="26"/>
  </w:num>
  <w:num w:numId="7">
    <w:abstractNumId w:val="30"/>
  </w:num>
  <w:num w:numId="8">
    <w:abstractNumId w:val="23"/>
  </w:num>
  <w:num w:numId="9">
    <w:abstractNumId w:val="12"/>
  </w:num>
  <w:num w:numId="10">
    <w:abstractNumId w:val="13"/>
  </w:num>
  <w:num w:numId="11">
    <w:abstractNumId w:val="31"/>
  </w:num>
  <w:num w:numId="12">
    <w:abstractNumId w:val="8"/>
  </w:num>
  <w:num w:numId="13">
    <w:abstractNumId w:val="33"/>
  </w:num>
  <w:num w:numId="14">
    <w:abstractNumId w:val="7"/>
  </w:num>
  <w:num w:numId="15">
    <w:abstractNumId w:val="32"/>
  </w:num>
  <w:num w:numId="16">
    <w:abstractNumId w:val="22"/>
  </w:num>
  <w:num w:numId="17">
    <w:abstractNumId w:val="2"/>
  </w:num>
  <w:num w:numId="18">
    <w:abstractNumId w:val="0"/>
  </w:num>
  <w:num w:numId="19">
    <w:abstractNumId w:val="14"/>
  </w:num>
  <w:num w:numId="20">
    <w:abstractNumId w:val="1"/>
  </w:num>
  <w:num w:numId="21">
    <w:abstractNumId w:val="11"/>
  </w:num>
  <w:num w:numId="22">
    <w:abstractNumId w:val="18"/>
  </w:num>
  <w:num w:numId="23">
    <w:abstractNumId w:val="3"/>
  </w:num>
  <w:num w:numId="24">
    <w:abstractNumId w:val="11"/>
  </w:num>
  <w:num w:numId="25">
    <w:abstractNumId w:val="6"/>
  </w:num>
  <w:num w:numId="26">
    <w:abstractNumId w:val="1"/>
  </w:num>
  <w:num w:numId="27">
    <w:abstractNumId w:val="10"/>
  </w:num>
  <w:num w:numId="28">
    <w:abstractNumId w:val="17"/>
  </w:num>
  <w:num w:numId="29">
    <w:abstractNumId w:val="9"/>
  </w:num>
  <w:num w:numId="30">
    <w:abstractNumId w:val="21"/>
  </w:num>
  <w:num w:numId="31">
    <w:abstractNumId w:val="29"/>
  </w:num>
  <w:num w:numId="32">
    <w:abstractNumId w:val="16"/>
  </w:num>
  <w:num w:numId="33">
    <w:abstractNumId w:val="36"/>
  </w:num>
  <w:num w:numId="34">
    <w:abstractNumId w:val="34"/>
  </w:num>
  <w:num w:numId="35">
    <w:abstractNumId w:val="28"/>
  </w:num>
  <w:num w:numId="36">
    <w:abstractNumId w:val="15"/>
  </w:num>
  <w:num w:numId="37">
    <w:abstractNumId w:val="24"/>
  </w:num>
  <w:num w:numId="38">
    <w:abstractNumId w:val="35"/>
  </w:num>
  <w:num w:numId="3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54CB"/>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A4A"/>
    <w:rsid w:val="00050A6C"/>
    <w:rsid w:val="000517D2"/>
    <w:rsid w:val="00051DF4"/>
    <w:rsid w:val="00051E2C"/>
    <w:rsid w:val="0005312F"/>
    <w:rsid w:val="000534C2"/>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0C74"/>
    <w:rsid w:val="000A1498"/>
    <w:rsid w:val="000A1CA2"/>
    <w:rsid w:val="000A28F0"/>
    <w:rsid w:val="000A4148"/>
    <w:rsid w:val="000A4CDA"/>
    <w:rsid w:val="000A5CD8"/>
    <w:rsid w:val="000A60BF"/>
    <w:rsid w:val="000A71F6"/>
    <w:rsid w:val="000A734E"/>
    <w:rsid w:val="000B0553"/>
    <w:rsid w:val="000B0DB2"/>
    <w:rsid w:val="000B2641"/>
    <w:rsid w:val="000B3449"/>
    <w:rsid w:val="000B3653"/>
    <w:rsid w:val="000B3D4A"/>
    <w:rsid w:val="000B48E0"/>
    <w:rsid w:val="000B4F36"/>
    <w:rsid w:val="000B5A12"/>
    <w:rsid w:val="000C1105"/>
    <w:rsid w:val="000C2E1C"/>
    <w:rsid w:val="000C30C7"/>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2421"/>
    <w:rsid w:val="000E7139"/>
    <w:rsid w:val="000F0CF0"/>
    <w:rsid w:val="000F0EF5"/>
    <w:rsid w:val="000F1B35"/>
    <w:rsid w:val="000F238E"/>
    <w:rsid w:val="000F2A25"/>
    <w:rsid w:val="000F328E"/>
    <w:rsid w:val="000F3758"/>
    <w:rsid w:val="000F430E"/>
    <w:rsid w:val="000F67FD"/>
    <w:rsid w:val="000F7122"/>
    <w:rsid w:val="000F75DD"/>
    <w:rsid w:val="000F7B28"/>
    <w:rsid w:val="000F7FCD"/>
    <w:rsid w:val="00100519"/>
    <w:rsid w:val="001005C0"/>
    <w:rsid w:val="00101714"/>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4FA0"/>
    <w:rsid w:val="001265E3"/>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4F78"/>
    <w:rsid w:val="0017566C"/>
    <w:rsid w:val="001756EB"/>
    <w:rsid w:val="00176037"/>
    <w:rsid w:val="00176D7C"/>
    <w:rsid w:val="00177181"/>
    <w:rsid w:val="0017747E"/>
    <w:rsid w:val="001774E0"/>
    <w:rsid w:val="00177536"/>
    <w:rsid w:val="001808DF"/>
    <w:rsid w:val="00180B68"/>
    <w:rsid w:val="00181736"/>
    <w:rsid w:val="00183027"/>
    <w:rsid w:val="0018349C"/>
    <w:rsid w:val="00183EF3"/>
    <w:rsid w:val="00185107"/>
    <w:rsid w:val="001857B9"/>
    <w:rsid w:val="00185F9C"/>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1B5E"/>
    <w:rsid w:val="001D217E"/>
    <w:rsid w:val="001D2A5A"/>
    <w:rsid w:val="001D3FD7"/>
    <w:rsid w:val="001D4939"/>
    <w:rsid w:val="001D4D46"/>
    <w:rsid w:val="001D6883"/>
    <w:rsid w:val="001D6B36"/>
    <w:rsid w:val="001E0884"/>
    <w:rsid w:val="001E0EB5"/>
    <w:rsid w:val="001E1367"/>
    <w:rsid w:val="001E1547"/>
    <w:rsid w:val="001E18C2"/>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6D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2A"/>
    <w:rsid w:val="002106D6"/>
    <w:rsid w:val="0021123E"/>
    <w:rsid w:val="0021234D"/>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7CC0"/>
    <w:rsid w:val="00227F55"/>
    <w:rsid w:val="002314DE"/>
    <w:rsid w:val="00231804"/>
    <w:rsid w:val="002326F2"/>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47FD1"/>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66DA"/>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15F3"/>
    <w:rsid w:val="002A2F2C"/>
    <w:rsid w:val="002A371C"/>
    <w:rsid w:val="002A3827"/>
    <w:rsid w:val="002A3A71"/>
    <w:rsid w:val="002A3AEA"/>
    <w:rsid w:val="002A5EF6"/>
    <w:rsid w:val="002A633D"/>
    <w:rsid w:val="002A6CEB"/>
    <w:rsid w:val="002A6D56"/>
    <w:rsid w:val="002A70F5"/>
    <w:rsid w:val="002A7289"/>
    <w:rsid w:val="002A7D72"/>
    <w:rsid w:val="002A7E33"/>
    <w:rsid w:val="002B05A5"/>
    <w:rsid w:val="002B1466"/>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460E"/>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51FF"/>
    <w:rsid w:val="00315310"/>
    <w:rsid w:val="00315318"/>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25FF"/>
    <w:rsid w:val="00333396"/>
    <w:rsid w:val="0033576F"/>
    <w:rsid w:val="003368BF"/>
    <w:rsid w:val="00337486"/>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2E7F"/>
    <w:rsid w:val="003733E2"/>
    <w:rsid w:val="0037360F"/>
    <w:rsid w:val="00373C2F"/>
    <w:rsid w:val="00373E1D"/>
    <w:rsid w:val="0037413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AFE"/>
    <w:rsid w:val="003C4B26"/>
    <w:rsid w:val="003C667A"/>
    <w:rsid w:val="003C7EF2"/>
    <w:rsid w:val="003D12BC"/>
    <w:rsid w:val="003D1F74"/>
    <w:rsid w:val="003D2F7C"/>
    <w:rsid w:val="003D2FDD"/>
    <w:rsid w:val="003D3399"/>
    <w:rsid w:val="003D33C8"/>
    <w:rsid w:val="003D342A"/>
    <w:rsid w:val="003D4157"/>
    <w:rsid w:val="003D4383"/>
    <w:rsid w:val="003D5578"/>
    <w:rsid w:val="003D5896"/>
    <w:rsid w:val="003D59D7"/>
    <w:rsid w:val="003D640C"/>
    <w:rsid w:val="003D6755"/>
    <w:rsid w:val="003D6CE2"/>
    <w:rsid w:val="003E193E"/>
    <w:rsid w:val="003E29CF"/>
    <w:rsid w:val="003E3B5C"/>
    <w:rsid w:val="003E4472"/>
    <w:rsid w:val="003E48FC"/>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5162"/>
    <w:rsid w:val="0043539F"/>
    <w:rsid w:val="0043625F"/>
    <w:rsid w:val="00436A3C"/>
    <w:rsid w:val="004372AD"/>
    <w:rsid w:val="00437F3B"/>
    <w:rsid w:val="00440105"/>
    <w:rsid w:val="004414D3"/>
    <w:rsid w:val="00441C4D"/>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F5A"/>
    <w:rsid w:val="00476C79"/>
    <w:rsid w:val="00476D23"/>
    <w:rsid w:val="004770A2"/>
    <w:rsid w:val="004771E1"/>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71A"/>
    <w:rsid w:val="00502AB1"/>
    <w:rsid w:val="005031F2"/>
    <w:rsid w:val="0050332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4C9"/>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4B4E"/>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537"/>
    <w:rsid w:val="0060295A"/>
    <w:rsid w:val="00602AEF"/>
    <w:rsid w:val="0060479F"/>
    <w:rsid w:val="00605059"/>
    <w:rsid w:val="00605B18"/>
    <w:rsid w:val="00605D47"/>
    <w:rsid w:val="00606F3F"/>
    <w:rsid w:val="00607401"/>
    <w:rsid w:val="00607AC1"/>
    <w:rsid w:val="00611E46"/>
    <w:rsid w:val="006120BB"/>
    <w:rsid w:val="0061224C"/>
    <w:rsid w:val="00612540"/>
    <w:rsid w:val="0061337B"/>
    <w:rsid w:val="0061340C"/>
    <w:rsid w:val="00613C1E"/>
    <w:rsid w:val="00614304"/>
    <w:rsid w:val="00614B3D"/>
    <w:rsid w:val="00614D61"/>
    <w:rsid w:val="00616420"/>
    <w:rsid w:val="006166E3"/>
    <w:rsid w:val="0061710E"/>
    <w:rsid w:val="00617CA9"/>
    <w:rsid w:val="00617F63"/>
    <w:rsid w:val="006208C2"/>
    <w:rsid w:val="00620E7B"/>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E1B"/>
    <w:rsid w:val="006520BE"/>
    <w:rsid w:val="006523A5"/>
    <w:rsid w:val="006528D0"/>
    <w:rsid w:val="00652BB1"/>
    <w:rsid w:val="006543BA"/>
    <w:rsid w:val="00656C0E"/>
    <w:rsid w:val="00657622"/>
    <w:rsid w:val="0065779A"/>
    <w:rsid w:val="0066072F"/>
    <w:rsid w:val="00661EDE"/>
    <w:rsid w:val="006626F4"/>
    <w:rsid w:val="0066369B"/>
    <w:rsid w:val="00663CCD"/>
    <w:rsid w:val="0066527A"/>
    <w:rsid w:val="006656E6"/>
    <w:rsid w:val="0066590A"/>
    <w:rsid w:val="0066591B"/>
    <w:rsid w:val="00665FDC"/>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374"/>
    <w:rsid w:val="00705CD2"/>
    <w:rsid w:val="00706FA3"/>
    <w:rsid w:val="007074CA"/>
    <w:rsid w:val="00707934"/>
    <w:rsid w:val="007109B2"/>
    <w:rsid w:val="007118C0"/>
    <w:rsid w:val="00711A97"/>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C7A"/>
    <w:rsid w:val="00740D7E"/>
    <w:rsid w:val="00740EC3"/>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C80"/>
    <w:rsid w:val="0078637E"/>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30B"/>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0F6"/>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5AD4"/>
    <w:rsid w:val="008263D4"/>
    <w:rsid w:val="00831361"/>
    <w:rsid w:val="00832D65"/>
    <w:rsid w:val="00832E2A"/>
    <w:rsid w:val="008331E7"/>
    <w:rsid w:val="008335E8"/>
    <w:rsid w:val="00834340"/>
    <w:rsid w:val="00835DAC"/>
    <w:rsid w:val="00835F4B"/>
    <w:rsid w:val="00836C03"/>
    <w:rsid w:val="00837705"/>
    <w:rsid w:val="00840214"/>
    <w:rsid w:val="0084078D"/>
    <w:rsid w:val="008417BC"/>
    <w:rsid w:val="008423BC"/>
    <w:rsid w:val="00842D2E"/>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C72A5"/>
    <w:rsid w:val="008C7DA8"/>
    <w:rsid w:val="008D01F1"/>
    <w:rsid w:val="008D0CD6"/>
    <w:rsid w:val="008D198D"/>
    <w:rsid w:val="008D1D34"/>
    <w:rsid w:val="008D2BDB"/>
    <w:rsid w:val="008D3CC9"/>
    <w:rsid w:val="008D4BA9"/>
    <w:rsid w:val="008D55EC"/>
    <w:rsid w:val="008D6911"/>
    <w:rsid w:val="008D6EB7"/>
    <w:rsid w:val="008D6F2E"/>
    <w:rsid w:val="008D77EA"/>
    <w:rsid w:val="008D79F9"/>
    <w:rsid w:val="008E0346"/>
    <w:rsid w:val="008E04CE"/>
    <w:rsid w:val="008E081D"/>
    <w:rsid w:val="008E0DEA"/>
    <w:rsid w:val="008E1549"/>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275D"/>
    <w:rsid w:val="00912ECD"/>
    <w:rsid w:val="009144EA"/>
    <w:rsid w:val="0091461A"/>
    <w:rsid w:val="00914CF2"/>
    <w:rsid w:val="009166E6"/>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3870"/>
    <w:rsid w:val="00934276"/>
    <w:rsid w:val="009342ED"/>
    <w:rsid w:val="009352E0"/>
    <w:rsid w:val="00935E0D"/>
    <w:rsid w:val="009367CE"/>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1E39"/>
    <w:rsid w:val="0096328E"/>
    <w:rsid w:val="00964340"/>
    <w:rsid w:val="00964729"/>
    <w:rsid w:val="009659E9"/>
    <w:rsid w:val="00965AB8"/>
    <w:rsid w:val="009675E8"/>
    <w:rsid w:val="009702F5"/>
    <w:rsid w:val="00971838"/>
    <w:rsid w:val="009719E8"/>
    <w:rsid w:val="00972462"/>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EE1"/>
    <w:rsid w:val="009C4771"/>
    <w:rsid w:val="009C4F99"/>
    <w:rsid w:val="009C6145"/>
    <w:rsid w:val="009C752D"/>
    <w:rsid w:val="009D05D9"/>
    <w:rsid w:val="009D1E48"/>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4C68"/>
    <w:rsid w:val="009F5620"/>
    <w:rsid w:val="009F5706"/>
    <w:rsid w:val="009F63D3"/>
    <w:rsid w:val="009F6570"/>
    <w:rsid w:val="009F6737"/>
    <w:rsid w:val="009F73F1"/>
    <w:rsid w:val="009F759A"/>
    <w:rsid w:val="00A01F44"/>
    <w:rsid w:val="00A0215F"/>
    <w:rsid w:val="00A022C6"/>
    <w:rsid w:val="00A026EA"/>
    <w:rsid w:val="00A027CA"/>
    <w:rsid w:val="00A02F37"/>
    <w:rsid w:val="00A03190"/>
    <w:rsid w:val="00A03927"/>
    <w:rsid w:val="00A04583"/>
    <w:rsid w:val="00A04E32"/>
    <w:rsid w:val="00A04E6B"/>
    <w:rsid w:val="00A051E1"/>
    <w:rsid w:val="00A054CB"/>
    <w:rsid w:val="00A05D52"/>
    <w:rsid w:val="00A05FB9"/>
    <w:rsid w:val="00A06107"/>
    <w:rsid w:val="00A06E4E"/>
    <w:rsid w:val="00A0736B"/>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207B"/>
    <w:rsid w:val="00A32CBF"/>
    <w:rsid w:val="00A342B9"/>
    <w:rsid w:val="00A34330"/>
    <w:rsid w:val="00A3661D"/>
    <w:rsid w:val="00A40F16"/>
    <w:rsid w:val="00A432B7"/>
    <w:rsid w:val="00A43A09"/>
    <w:rsid w:val="00A43A9E"/>
    <w:rsid w:val="00A43BF4"/>
    <w:rsid w:val="00A43C21"/>
    <w:rsid w:val="00A444F2"/>
    <w:rsid w:val="00A458D1"/>
    <w:rsid w:val="00A45B7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4D0E"/>
    <w:rsid w:val="00A858CA"/>
    <w:rsid w:val="00A867C3"/>
    <w:rsid w:val="00A8695D"/>
    <w:rsid w:val="00A86EAC"/>
    <w:rsid w:val="00A87852"/>
    <w:rsid w:val="00A904B8"/>
    <w:rsid w:val="00A90B9F"/>
    <w:rsid w:val="00A90C3D"/>
    <w:rsid w:val="00A91C84"/>
    <w:rsid w:val="00A91F97"/>
    <w:rsid w:val="00A9213F"/>
    <w:rsid w:val="00A92417"/>
    <w:rsid w:val="00A93406"/>
    <w:rsid w:val="00A93C53"/>
    <w:rsid w:val="00A946C1"/>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80B"/>
    <w:rsid w:val="00AA495A"/>
    <w:rsid w:val="00AA4A64"/>
    <w:rsid w:val="00AA5A64"/>
    <w:rsid w:val="00AA66C6"/>
    <w:rsid w:val="00AA66D1"/>
    <w:rsid w:val="00AA6787"/>
    <w:rsid w:val="00AA6791"/>
    <w:rsid w:val="00AA7F6B"/>
    <w:rsid w:val="00AB1E73"/>
    <w:rsid w:val="00AB1ED8"/>
    <w:rsid w:val="00AB2BAB"/>
    <w:rsid w:val="00AB3B37"/>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3710"/>
    <w:rsid w:val="00AD415E"/>
    <w:rsid w:val="00AD46CA"/>
    <w:rsid w:val="00AD49A0"/>
    <w:rsid w:val="00AD4AE2"/>
    <w:rsid w:val="00AD4F0F"/>
    <w:rsid w:val="00AD5AC6"/>
    <w:rsid w:val="00AE039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1237"/>
    <w:rsid w:val="00AF23D6"/>
    <w:rsid w:val="00AF2C81"/>
    <w:rsid w:val="00AF2F45"/>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5FA"/>
    <w:rsid w:val="00B07BE2"/>
    <w:rsid w:val="00B07F4C"/>
    <w:rsid w:val="00B10482"/>
    <w:rsid w:val="00B12203"/>
    <w:rsid w:val="00B124CA"/>
    <w:rsid w:val="00B132F8"/>
    <w:rsid w:val="00B133AE"/>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0ED"/>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50B7"/>
    <w:rsid w:val="00BA67EE"/>
    <w:rsid w:val="00BA775E"/>
    <w:rsid w:val="00BB043A"/>
    <w:rsid w:val="00BB0D83"/>
    <w:rsid w:val="00BB0F02"/>
    <w:rsid w:val="00BB2841"/>
    <w:rsid w:val="00BB3618"/>
    <w:rsid w:val="00BB373A"/>
    <w:rsid w:val="00BB38F6"/>
    <w:rsid w:val="00BB3B7B"/>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1A73"/>
    <w:rsid w:val="00BD1BE0"/>
    <w:rsid w:val="00BD353C"/>
    <w:rsid w:val="00BD392B"/>
    <w:rsid w:val="00BD44DA"/>
    <w:rsid w:val="00BD4999"/>
    <w:rsid w:val="00BD519F"/>
    <w:rsid w:val="00BD5F92"/>
    <w:rsid w:val="00BD7208"/>
    <w:rsid w:val="00BD778F"/>
    <w:rsid w:val="00BD7ADE"/>
    <w:rsid w:val="00BE033A"/>
    <w:rsid w:val="00BE0B17"/>
    <w:rsid w:val="00BE0DB9"/>
    <w:rsid w:val="00BE1251"/>
    <w:rsid w:val="00BE1905"/>
    <w:rsid w:val="00BE1A4F"/>
    <w:rsid w:val="00BE2C43"/>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117E"/>
    <w:rsid w:val="00C11A7A"/>
    <w:rsid w:val="00C11D87"/>
    <w:rsid w:val="00C11FE6"/>
    <w:rsid w:val="00C1386B"/>
    <w:rsid w:val="00C13DFE"/>
    <w:rsid w:val="00C14044"/>
    <w:rsid w:val="00C14510"/>
    <w:rsid w:val="00C14952"/>
    <w:rsid w:val="00C152C5"/>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523F"/>
    <w:rsid w:val="00C35EAE"/>
    <w:rsid w:val="00C36DEC"/>
    <w:rsid w:val="00C40153"/>
    <w:rsid w:val="00C40F51"/>
    <w:rsid w:val="00C4126F"/>
    <w:rsid w:val="00C4177B"/>
    <w:rsid w:val="00C41831"/>
    <w:rsid w:val="00C420EF"/>
    <w:rsid w:val="00C42906"/>
    <w:rsid w:val="00C43429"/>
    <w:rsid w:val="00C43AC3"/>
    <w:rsid w:val="00C4457F"/>
    <w:rsid w:val="00C46CEE"/>
    <w:rsid w:val="00C50EFB"/>
    <w:rsid w:val="00C517B7"/>
    <w:rsid w:val="00C51D1C"/>
    <w:rsid w:val="00C52653"/>
    <w:rsid w:val="00C528DF"/>
    <w:rsid w:val="00C52BB5"/>
    <w:rsid w:val="00C52C30"/>
    <w:rsid w:val="00C54101"/>
    <w:rsid w:val="00C54AB0"/>
    <w:rsid w:val="00C54ECA"/>
    <w:rsid w:val="00C55DA5"/>
    <w:rsid w:val="00C563B4"/>
    <w:rsid w:val="00C569E4"/>
    <w:rsid w:val="00C56CB7"/>
    <w:rsid w:val="00C56E17"/>
    <w:rsid w:val="00C60861"/>
    <w:rsid w:val="00C6169C"/>
    <w:rsid w:val="00C621BD"/>
    <w:rsid w:val="00C62610"/>
    <w:rsid w:val="00C6369C"/>
    <w:rsid w:val="00C639D0"/>
    <w:rsid w:val="00C63BA1"/>
    <w:rsid w:val="00C63DA7"/>
    <w:rsid w:val="00C649A6"/>
    <w:rsid w:val="00C65470"/>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3516"/>
    <w:rsid w:val="00C84E1D"/>
    <w:rsid w:val="00C85966"/>
    <w:rsid w:val="00C85FF1"/>
    <w:rsid w:val="00C87A91"/>
    <w:rsid w:val="00C90850"/>
    <w:rsid w:val="00C90945"/>
    <w:rsid w:val="00C90C90"/>
    <w:rsid w:val="00C90D06"/>
    <w:rsid w:val="00C91220"/>
    <w:rsid w:val="00C914FA"/>
    <w:rsid w:val="00C934D4"/>
    <w:rsid w:val="00C938D4"/>
    <w:rsid w:val="00C93FC5"/>
    <w:rsid w:val="00C9442E"/>
    <w:rsid w:val="00C94A1B"/>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2841"/>
    <w:rsid w:val="00CC32E5"/>
    <w:rsid w:val="00CC35DE"/>
    <w:rsid w:val="00CC4149"/>
    <w:rsid w:val="00CC41FC"/>
    <w:rsid w:val="00CC43DC"/>
    <w:rsid w:val="00CC4DC6"/>
    <w:rsid w:val="00CC4F8C"/>
    <w:rsid w:val="00CC7CC4"/>
    <w:rsid w:val="00CC7EF7"/>
    <w:rsid w:val="00CD13C2"/>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C81"/>
    <w:rsid w:val="00D07D1A"/>
    <w:rsid w:val="00D07EE2"/>
    <w:rsid w:val="00D1029D"/>
    <w:rsid w:val="00D10F6B"/>
    <w:rsid w:val="00D12518"/>
    <w:rsid w:val="00D1262C"/>
    <w:rsid w:val="00D12CEB"/>
    <w:rsid w:val="00D13940"/>
    <w:rsid w:val="00D14C89"/>
    <w:rsid w:val="00D15FDF"/>
    <w:rsid w:val="00D165CE"/>
    <w:rsid w:val="00D16C18"/>
    <w:rsid w:val="00D2167F"/>
    <w:rsid w:val="00D22818"/>
    <w:rsid w:val="00D25528"/>
    <w:rsid w:val="00D25D4A"/>
    <w:rsid w:val="00D25DAA"/>
    <w:rsid w:val="00D26084"/>
    <w:rsid w:val="00D26659"/>
    <w:rsid w:val="00D274EC"/>
    <w:rsid w:val="00D275ED"/>
    <w:rsid w:val="00D3098F"/>
    <w:rsid w:val="00D3133F"/>
    <w:rsid w:val="00D31BE1"/>
    <w:rsid w:val="00D32722"/>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95E"/>
    <w:rsid w:val="00D621A3"/>
    <w:rsid w:val="00D622C6"/>
    <w:rsid w:val="00D62C55"/>
    <w:rsid w:val="00D63156"/>
    <w:rsid w:val="00D6340E"/>
    <w:rsid w:val="00D6468F"/>
    <w:rsid w:val="00D654A2"/>
    <w:rsid w:val="00D654C7"/>
    <w:rsid w:val="00D66593"/>
    <w:rsid w:val="00D66E2C"/>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173B"/>
    <w:rsid w:val="00D82DDC"/>
    <w:rsid w:val="00D82F23"/>
    <w:rsid w:val="00D83395"/>
    <w:rsid w:val="00D84DFA"/>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E25"/>
    <w:rsid w:val="00D95801"/>
    <w:rsid w:val="00D961D1"/>
    <w:rsid w:val="00D978C1"/>
    <w:rsid w:val="00DA00EF"/>
    <w:rsid w:val="00DA00FA"/>
    <w:rsid w:val="00DA0370"/>
    <w:rsid w:val="00DA0AB2"/>
    <w:rsid w:val="00DA11E3"/>
    <w:rsid w:val="00DA2060"/>
    <w:rsid w:val="00DA272D"/>
    <w:rsid w:val="00DA2CDC"/>
    <w:rsid w:val="00DA318D"/>
    <w:rsid w:val="00DA31F7"/>
    <w:rsid w:val="00DA378D"/>
    <w:rsid w:val="00DA44F7"/>
    <w:rsid w:val="00DA68F6"/>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3BBF"/>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DAB"/>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5F1"/>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42F"/>
    <w:rsid w:val="00EF0806"/>
    <w:rsid w:val="00EF1079"/>
    <w:rsid w:val="00EF25B8"/>
    <w:rsid w:val="00EF358F"/>
    <w:rsid w:val="00EF384B"/>
    <w:rsid w:val="00EF390D"/>
    <w:rsid w:val="00EF39F4"/>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BE6"/>
    <w:rsid w:val="00F20E20"/>
    <w:rsid w:val="00F21DDD"/>
    <w:rsid w:val="00F228C9"/>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A3C"/>
    <w:rsid w:val="00F43B80"/>
    <w:rsid w:val="00F441CD"/>
    <w:rsid w:val="00F4475B"/>
    <w:rsid w:val="00F44AF2"/>
    <w:rsid w:val="00F44B3A"/>
    <w:rsid w:val="00F44B66"/>
    <w:rsid w:val="00F44DF2"/>
    <w:rsid w:val="00F45062"/>
    <w:rsid w:val="00F45266"/>
    <w:rsid w:val="00F455B0"/>
    <w:rsid w:val="00F4572D"/>
    <w:rsid w:val="00F45CAA"/>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723"/>
    <w:rsid w:val="00F8287B"/>
    <w:rsid w:val="00F839CF"/>
    <w:rsid w:val="00F83B49"/>
    <w:rsid w:val="00F84814"/>
    <w:rsid w:val="00F85BE9"/>
    <w:rsid w:val="00F87EEB"/>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80C"/>
    <w:rsid w:val="00FA2A3F"/>
    <w:rsid w:val="00FA2E67"/>
    <w:rsid w:val="00FA3CA5"/>
    <w:rsid w:val="00FA3E69"/>
    <w:rsid w:val="00FA482E"/>
    <w:rsid w:val="00FA53A7"/>
    <w:rsid w:val="00FA7063"/>
    <w:rsid w:val="00FA70E6"/>
    <w:rsid w:val="00FA7616"/>
    <w:rsid w:val="00FA786A"/>
    <w:rsid w:val="00FA7937"/>
    <w:rsid w:val="00FA7B6B"/>
    <w:rsid w:val="00FB01C8"/>
    <w:rsid w:val="00FB0BB2"/>
    <w:rsid w:val="00FB1EBB"/>
    <w:rsid w:val="00FB21A9"/>
    <w:rsid w:val="00FB2201"/>
    <w:rsid w:val="00FB3651"/>
    <w:rsid w:val="00FB3C8A"/>
    <w:rsid w:val="00FB3CCD"/>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4378"/>
    <w:rsid w:val="00FE509D"/>
    <w:rsid w:val="00FE585B"/>
    <w:rsid w:val="00FE5D17"/>
    <w:rsid w:val="00FE5E21"/>
    <w:rsid w:val="00FE6260"/>
    <w:rsid w:val="00FE7D32"/>
    <w:rsid w:val="00FE7D55"/>
    <w:rsid w:val="00FF025B"/>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219F4B9"/>
  <w15:chartTrackingRefBased/>
  <w15:docId w15:val="{ADCE639C-B53F-4EDF-940E-067424A9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98c3c825-6db6-40e7-84ba-e24599bb6abc"/>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793B0-7250-4037-B017-A4914F3B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1617</Words>
  <Characters>9223</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2021-05-12T01:55:00Z</dcterms:created>
  <dcterms:modified xsi:type="dcterms:W3CDTF">2021-05-12T01:55:00Z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